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9F3E7" w14:textId="16AC754D" w:rsidR="009D1BAE" w:rsidRPr="00D50807" w:rsidRDefault="00AC5E58" w:rsidP="00185252">
      <w:pPr>
        <w:spacing w:after="0" w:line="240" w:lineRule="auto"/>
        <w:ind w:firstLine="5529"/>
        <w:rPr>
          <w:rFonts w:ascii="Times New Roman" w:hAnsi="Times New Roman"/>
          <w:b/>
          <w:sz w:val="24"/>
          <w:szCs w:val="24"/>
        </w:rPr>
      </w:pPr>
      <w:r w:rsidRPr="00D50807">
        <w:rPr>
          <w:rFonts w:ascii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54775E" wp14:editId="50BDA695">
                <wp:simplePos x="0" y="0"/>
                <wp:positionH relativeFrom="column">
                  <wp:posOffset>6508115</wp:posOffset>
                </wp:positionH>
                <wp:positionV relativeFrom="paragraph">
                  <wp:posOffset>-337185</wp:posOffset>
                </wp:positionV>
                <wp:extent cx="2950210" cy="1029335"/>
                <wp:effectExtent l="0" t="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10" cy="1029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2DD2E" w14:textId="77777777" w:rsidR="00E24EE8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ЗАТВЕРДЖЕНО</w:t>
                            </w:r>
                          </w:p>
                          <w:p w14:paraId="32B01B2E" w14:textId="158B0C8F" w:rsidR="00766FCB" w:rsidRDefault="009B3BFA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Розпорядження Львівської обласної військової адміністрації</w:t>
                            </w:r>
                          </w:p>
                          <w:p w14:paraId="6081303E" w14:textId="290F90C6" w:rsidR="009D1BAE" w:rsidRPr="001A2502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Pr="00185252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_№ __________</w:t>
                            </w:r>
                          </w:p>
                          <w:p w14:paraId="572496FC" w14:textId="77777777" w:rsidR="009D1BAE" w:rsidRDefault="009D1BAE" w:rsidP="001852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477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2.45pt;margin-top:-26.55pt;width:232.3pt;height:8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" strokecolor="white">
                <v:textbox>
                  <w:txbxContent>
                    <w:p w14:paraId="75A2DD2E" w14:textId="77777777" w:rsidR="00E24EE8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ЗАТВЕРДЖЕНО</w:t>
                      </w:r>
                    </w:p>
                    <w:p w14:paraId="32B01B2E" w14:textId="158B0C8F" w:rsidR="00766FCB" w:rsidRDefault="009B3BFA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Розпорядження Львівської обласної військової адміністрації</w:t>
                      </w:r>
                    </w:p>
                    <w:p w14:paraId="6081303E" w14:textId="290F90C6" w:rsidR="009D1BAE" w:rsidRPr="001A2502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</w:t>
                      </w:r>
                      <w:r w:rsidRPr="00185252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__________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_№ __________</w:t>
                      </w:r>
                    </w:p>
                    <w:p w14:paraId="572496FC" w14:textId="77777777" w:rsidR="009D1BAE" w:rsidRDefault="009D1BAE" w:rsidP="00185252"/>
                  </w:txbxContent>
                </v:textbox>
              </v:shape>
            </w:pict>
          </mc:Fallback>
        </mc:AlternateContent>
      </w:r>
    </w:p>
    <w:p w14:paraId="117E9181" w14:textId="77777777" w:rsidR="009D1BAE" w:rsidRPr="00D50807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A0B843" w14:textId="77777777" w:rsidR="009D1BAE" w:rsidRPr="00D50807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874AEB" w14:textId="77777777" w:rsidR="009D1BAE" w:rsidRPr="00D50807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F7D44B" w14:textId="77777777" w:rsidR="00156BD4" w:rsidRDefault="00156BD4" w:rsidP="00F540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51F635" w14:textId="2CF995E2" w:rsidR="00F54089" w:rsidRPr="00A20B08" w:rsidRDefault="00F54089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08">
        <w:rPr>
          <w:rFonts w:ascii="Times New Roman" w:hAnsi="Times New Roman"/>
          <w:b/>
          <w:sz w:val="28"/>
          <w:szCs w:val="28"/>
        </w:rPr>
        <w:t xml:space="preserve">РЕГІОНАЛЬНИЙ </w:t>
      </w:r>
      <w:r w:rsidR="009D1BAE" w:rsidRPr="00A20B08">
        <w:rPr>
          <w:rFonts w:ascii="Times New Roman" w:hAnsi="Times New Roman"/>
          <w:b/>
          <w:sz w:val="28"/>
          <w:szCs w:val="28"/>
        </w:rPr>
        <w:t>ПЛАН</w:t>
      </w:r>
      <w:r w:rsidR="00EC7F3F" w:rsidRPr="00A20B08">
        <w:rPr>
          <w:rFonts w:ascii="Times New Roman" w:hAnsi="Times New Roman"/>
          <w:b/>
          <w:sz w:val="28"/>
          <w:szCs w:val="28"/>
        </w:rPr>
        <w:t xml:space="preserve"> ЗАХОДІВ</w:t>
      </w:r>
    </w:p>
    <w:p w14:paraId="3C5F2B1E" w14:textId="1CA32DC2" w:rsidR="00F54089" w:rsidRPr="00A20B08" w:rsidRDefault="002B6A3A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08">
        <w:rPr>
          <w:rFonts w:ascii="Times New Roman" w:hAnsi="Times New Roman"/>
          <w:b/>
          <w:sz w:val="28"/>
          <w:szCs w:val="28"/>
        </w:rPr>
        <w:t>п</w:t>
      </w:r>
      <w:r w:rsidR="0068651F" w:rsidRPr="00A20B08">
        <w:rPr>
          <w:rFonts w:ascii="Times New Roman" w:hAnsi="Times New Roman"/>
          <w:b/>
          <w:sz w:val="28"/>
          <w:szCs w:val="28"/>
        </w:rPr>
        <w:t>рофілактики йодної недостатності серед населення Львівщини на 202</w:t>
      </w:r>
      <w:r w:rsidR="00654B11" w:rsidRPr="00A20B08">
        <w:rPr>
          <w:rFonts w:ascii="Times New Roman" w:hAnsi="Times New Roman"/>
          <w:b/>
          <w:sz w:val="28"/>
          <w:szCs w:val="28"/>
        </w:rPr>
        <w:t>6</w:t>
      </w:r>
      <w:r w:rsidR="0068651F" w:rsidRPr="00A20B08">
        <w:rPr>
          <w:rFonts w:ascii="Times New Roman" w:hAnsi="Times New Roman"/>
          <w:b/>
          <w:sz w:val="28"/>
          <w:szCs w:val="28"/>
        </w:rPr>
        <w:t xml:space="preserve"> – 20</w:t>
      </w:r>
      <w:r w:rsidR="00654B11" w:rsidRPr="00A20B08">
        <w:rPr>
          <w:rFonts w:ascii="Times New Roman" w:hAnsi="Times New Roman"/>
          <w:b/>
          <w:sz w:val="28"/>
          <w:szCs w:val="28"/>
        </w:rPr>
        <w:t>30</w:t>
      </w:r>
      <w:r w:rsidR="0068651F" w:rsidRPr="00A20B08"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7346D421" w14:textId="77777777" w:rsidR="00654B11" w:rsidRPr="00A20B08" w:rsidRDefault="00654B11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15588" w:type="dxa"/>
        <w:tblLook w:val="04A0" w:firstRow="1" w:lastRow="0" w:firstColumn="1" w:lastColumn="0" w:noHBand="0" w:noVBand="1"/>
      </w:tblPr>
      <w:tblGrid>
        <w:gridCol w:w="736"/>
        <w:gridCol w:w="3928"/>
        <w:gridCol w:w="1711"/>
        <w:gridCol w:w="4799"/>
        <w:gridCol w:w="2809"/>
        <w:gridCol w:w="1605"/>
      </w:tblGrid>
      <w:tr w:rsidR="00DF6617" w:rsidRPr="00A20B08" w14:paraId="7A14314C" w14:textId="77777777" w:rsidTr="00A20B08">
        <w:tc>
          <w:tcPr>
            <w:tcW w:w="736" w:type="dxa"/>
            <w:vAlign w:val="center"/>
          </w:tcPr>
          <w:p w14:paraId="2A05EBE7" w14:textId="2E612F6D" w:rsidR="004C45EC" w:rsidRPr="00A20B08" w:rsidRDefault="0023377A" w:rsidP="00233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928" w:type="dxa"/>
            <w:vAlign w:val="center"/>
          </w:tcPr>
          <w:p w14:paraId="4037B3C4" w14:textId="77777777" w:rsidR="004C45EC" w:rsidRPr="00A20B08" w:rsidRDefault="004C45EC" w:rsidP="00233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sz w:val="26"/>
                <w:szCs w:val="26"/>
              </w:rPr>
              <w:t>Назва заходу</w:t>
            </w:r>
          </w:p>
        </w:tc>
        <w:tc>
          <w:tcPr>
            <w:tcW w:w="1711" w:type="dxa"/>
            <w:vAlign w:val="center"/>
          </w:tcPr>
          <w:p w14:paraId="33F83E8B" w14:textId="77777777" w:rsidR="004C45EC" w:rsidRPr="00A20B08" w:rsidRDefault="004C45EC" w:rsidP="00233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sz w:val="26"/>
                <w:szCs w:val="26"/>
              </w:rPr>
              <w:t>Термін виконання</w:t>
            </w:r>
          </w:p>
        </w:tc>
        <w:tc>
          <w:tcPr>
            <w:tcW w:w="4799" w:type="dxa"/>
            <w:vAlign w:val="center"/>
          </w:tcPr>
          <w:p w14:paraId="55843A41" w14:textId="77777777" w:rsidR="004C45EC" w:rsidRPr="00A20B08" w:rsidRDefault="004C45EC" w:rsidP="002337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sz w:val="26"/>
                <w:szCs w:val="26"/>
              </w:rPr>
              <w:t>Відповідальні виконавці</w:t>
            </w:r>
          </w:p>
        </w:tc>
        <w:tc>
          <w:tcPr>
            <w:tcW w:w="2809" w:type="dxa"/>
            <w:vAlign w:val="center"/>
          </w:tcPr>
          <w:p w14:paraId="4CBBAEB2" w14:textId="77777777" w:rsidR="004C45EC" w:rsidRPr="00A20B08" w:rsidRDefault="004C45EC" w:rsidP="0023377A">
            <w:pPr>
              <w:pStyle w:val="ad"/>
              <w:spacing w:before="0"/>
              <w:ind w:firstLine="0"/>
              <w:jc w:val="center"/>
              <w:rPr>
                <w:rFonts w:ascii="Times New Roman" w:eastAsia="Times New Roman" w:hAnsi="Times New Roman"/>
                <w:b/>
                <w:szCs w:val="26"/>
                <w:lang w:eastAsia="en-US"/>
              </w:rPr>
            </w:pPr>
            <w:r w:rsidRPr="00A20B08">
              <w:rPr>
                <w:rFonts w:ascii="Times New Roman" w:eastAsia="Times New Roman" w:hAnsi="Times New Roman"/>
                <w:b/>
                <w:szCs w:val="26"/>
                <w:lang w:eastAsia="en-US"/>
              </w:rPr>
              <w:t>Індикатор виконання</w:t>
            </w:r>
          </w:p>
        </w:tc>
        <w:tc>
          <w:tcPr>
            <w:tcW w:w="1605" w:type="dxa"/>
            <w:vAlign w:val="center"/>
          </w:tcPr>
          <w:p w14:paraId="5729CFC2" w14:textId="77777777" w:rsidR="004C45EC" w:rsidRPr="00A20B08" w:rsidRDefault="004C45EC" w:rsidP="0023377A">
            <w:pPr>
              <w:pStyle w:val="ad"/>
              <w:spacing w:before="0"/>
              <w:ind w:firstLine="0"/>
              <w:jc w:val="center"/>
              <w:rPr>
                <w:rFonts w:ascii="Times New Roman" w:eastAsia="Times New Roman" w:hAnsi="Times New Roman"/>
                <w:b/>
                <w:szCs w:val="26"/>
                <w:lang w:eastAsia="en-US"/>
              </w:rPr>
            </w:pPr>
            <w:r w:rsidRPr="00A20B08">
              <w:rPr>
                <w:rFonts w:ascii="Times New Roman" w:eastAsia="Times New Roman" w:hAnsi="Times New Roman"/>
                <w:b/>
                <w:szCs w:val="26"/>
                <w:lang w:eastAsia="en-US"/>
              </w:rPr>
              <w:t>Стан виконання</w:t>
            </w:r>
          </w:p>
        </w:tc>
      </w:tr>
      <w:tr w:rsidR="00A20B08" w:rsidRPr="00A20B08" w14:paraId="245D10AA" w14:textId="77777777" w:rsidTr="00B05619">
        <w:tc>
          <w:tcPr>
            <w:tcW w:w="15588" w:type="dxa"/>
            <w:gridSpan w:val="6"/>
          </w:tcPr>
          <w:p w14:paraId="04CF5E92" w14:textId="7D286E45" w:rsidR="00A20B08" w:rsidRPr="00A20B08" w:rsidRDefault="00A20B08" w:rsidP="008C0B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sz w:val="26"/>
                <w:szCs w:val="26"/>
              </w:rPr>
              <w:t xml:space="preserve">І. Забезпечення ефективної системи моніторингу захворювань населення, зумовлених йодною недостатністю </w:t>
            </w:r>
          </w:p>
          <w:p w14:paraId="5F323661" w14:textId="6165432F" w:rsidR="00A20B08" w:rsidRPr="00A20B08" w:rsidRDefault="00A20B08" w:rsidP="008C0B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024C5" w:rsidRPr="00A20B08" w14:paraId="23B59342" w14:textId="77777777" w:rsidTr="00A20B08">
        <w:tc>
          <w:tcPr>
            <w:tcW w:w="736" w:type="dxa"/>
          </w:tcPr>
          <w:p w14:paraId="2155130A" w14:textId="77777777" w:rsidR="003024C5" w:rsidRPr="00A20B08" w:rsidRDefault="003024C5" w:rsidP="003024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928" w:type="dxa"/>
          </w:tcPr>
          <w:p w14:paraId="7B2916BD" w14:textId="77777777" w:rsidR="003024C5" w:rsidRDefault="00DC5794" w:rsidP="0016798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Забезпеч</w:t>
            </w:r>
            <w:r w:rsidR="00D22512" w:rsidRPr="00A20B08">
              <w:rPr>
                <w:rFonts w:ascii="Times New Roman" w:hAnsi="Times New Roman"/>
                <w:sz w:val="26"/>
                <w:szCs w:val="26"/>
              </w:rPr>
              <w:t>ити</w:t>
            </w:r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 п</w:t>
            </w:r>
            <w:r w:rsidR="003024C5"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роведення моніторингу захворювань населення на </w:t>
            </w:r>
            <w:proofErr w:type="spellStart"/>
            <w:r w:rsidR="003024C5" w:rsidRPr="00A20B08">
              <w:rPr>
                <w:rFonts w:ascii="Times New Roman" w:hAnsi="Times New Roman"/>
                <w:bCs/>
                <w:sz w:val="26"/>
                <w:szCs w:val="26"/>
              </w:rPr>
              <w:t>йододефіцитні</w:t>
            </w:r>
            <w:proofErr w:type="spellEnd"/>
            <w:r w:rsidR="003024C5"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 хвороби в розрізі вікових груп, зокрема дітей до 18 років, вагітних, з метою визначення </w:t>
            </w:r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репрезентативних  груп населення, які мають </w:t>
            </w:r>
            <w:proofErr w:type="spellStart"/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йодозалежні</w:t>
            </w:r>
            <w:proofErr w:type="spellEnd"/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хвороби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14:paraId="36530B2B" w14:textId="7E96D2FC" w:rsidR="00A20B08" w:rsidRPr="00A20B08" w:rsidRDefault="00A20B08" w:rsidP="0016798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2AE038C7" w14:textId="124374B5" w:rsidR="003024C5" w:rsidRPr="00A20B08" w:rsidRDefault="003024C5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565B56B1" w14:textId="77777777" w:rsidR="00A20B08" w:rsidRDefault="00DC5794" w:rsidP="00A20B0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 w:eastAsia="ar-SA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КНП ЛОР «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Львівський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обласний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інформаційно-аналітичний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центр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медичної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статистики», </w:t>
            </w:r>
          </w:p>
          <w:p w14:paraId="24A8E30B" w14:textId="20076285" w:rsidR="003024C5" w:rsidRPr="00A20B08" w:rsidRDefault="003024C5" w:rsidP="00A20B0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 w:eastAsia="ar-SA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Заклади охорони здоров’я області, що надають первинну медичну допомогу</w:t>
            </w:r>
            <w:r w:rsidR="009A266F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14:paraId="5CE2E7D2" w14:textId="4EC2004B" w:rsidR="009A266F" w:rsidRPr="00A20B08" w:rsidRDefault="009A266F" w:rsidP="00DC579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 </w:t>
            </w:r>
          </w:p>
        </w:tc>
        <w:tc>
          <w:tcPr>
            <w:tcW w:w="2809" w:type="dxa"/>
          </w:tcPr>
          <w:p w14:paraId="07E44839" w14:textId="77777777" w:rsidR="003024C5" w:rsidRPr="00A20B08" w:rsidRDefault="003024C5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Підвищення показника виявлення репрезентативних</w:t>
            </w:r>
          </w:p>
          <w:p w14:paraId="5BB35985" w14:textId="77777777" w:rsidR="003024C5" w:rsidRPr="00A20B08" w:rsidRDefault="003024C5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груп населення, які мають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йододефіцитні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хвороби щороку на 10%</w:t>
            </w:r>
          </w:p>
        </w:tc>
        <w:tc>
          <w:tcPr>
            <w:tcW w:w="1605" w:type="dxa"/>
          </w:tcPr>
          <w:p w14:paraId="0A7E209B" w14:textId="77777777" w:rsidR="003024C5" w:rsidRPr="00A20B08" w:rsidRDefault="003024C5" w:rsidP="003024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B11" w:rsidRPr="00A20B08" w14:paraId="63AC9EB9" w14:textId="77777777" w:rsidTr="00A20B08">
        <w:trPr>
          <w:trHeight w:val="274"/>
        </w:trPr>
        <w:tc>
          <w:tcPr>
            <w:tcW w:w="736" w:type="dxa"/>
          </w:tcPr>
          <w:p w14:paraId="07DF0041" w14:textId="77777777" w:rsidR="00654B11" w:rsidRPr="00A20B08" w:rsidRDefault="00654B11" w:rsidP="00654B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928" w:type="dxa"/>
          </w:tcPr>
          <w:p w14:paraId="18EBE755" w14:textId="725A40FA" w:rsidR="00654B11" w:rsidRPr="00A20B08" w:rsidRDefault="009A266F" w:rsidP="00A20B08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разі </w:t>
            </w:r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звернення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до закладів охорони здоров’я 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вагітних жінок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незалежно від приводу звернення, рекомендувати обстеження на визначення вмісту </w:t>
            </w:r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йоду в сечі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11" w:type="dxa"/>
          </w:tcPr>
          <w:p w14:paraId="2D1658BC" w14:textId="177225D7" w:rsidR="00654B11" w:rsidRPr="00A20B08" w:rsidRDefault="00654B11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4B8E2548" w14:textId="57748C4D" w:rsidR="00654B11" w:rsidRPr="00A20B08" w:rsidRDefault="004027D1" w:rsidP="00A20B08">
            <w:pPr>
              <w:spacing w:after="0" w:line="240" w:lineRule="auto"/>
              <w:ind w:right="1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Заклади охорони здоров’я області, що надають первинну </w:t>
            </w:r>
            <w:r w:rsidR="003024C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та спеціалізовану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медичну допомогу</w:t>
            </w:r>
          </w:p>
        </w:tc>
        <w:tc>
          <w:tcPr>
            <w:tcW w:w="2809" w:type="dxa"/>
          </w:tcPr>
          <w:p w14:paraId="27390F14" w14:textId="36CEDD02" w:rsidR="00654B11" w:rsidRPr="00A20B08" w:rsidRDefault="00167988" w:rsidP="00A20B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Епідеміологічна  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цінка йодного статусу </w:t>
            </w:r>
            <w:r w:rsidR="005305D9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вагітних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</w:t>
            </w:r>
            <w:r w:rsidR="009A266F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54B11" w:rsidRPr="00A20B08">
              <w:rPr>
                <w:rFonts w:ascii="Times New Roman" w:hAnsi="Times New Roman"/>
                <w:sz w:val="26"/>
                <w:szCs w:val="26"/>
              </w:rPr>
              <w:t>%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випадків</w:t>
            </w:r>
          </w:p>
        </w:tc>
        <w:tc>
          <w:tcPr>
            <w:tcW w:w="1605" w:type="dxa"/>
          </w:tcPr>
          <w:p w14:paraId="53043686" w14:textId="77777777" w:rsidR="00654B11" w:rsidRPr="00A20B08" w:rsidRDefault="00654B11" w:rsidP="00654B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B11" w:rsidRPr="00A20B08" w14:paraId="75B9F17C" w14:textId="77777777" w:rsidTr="00A20B08">
        <w:trPr>
          <w:trHeight w:val="2400"/>
        </w:trPr>
        <w:tc>
          <w:tcPr>
            <w:tcW w:w="736" w:type="dxa"/>
          </w:tcPr>
          <w:p w14:paraId="70521C8F" w14:textId="77777777" w:rsidR="00654B11" w:rsidRPr="00A20B08" w:rsidRDefault="00654B11" w:rsidP="00654B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3928" w:type="dxa"/>
          </w:tcPr>
          <w:p w14:paraId="35AA35AC" w14:textId="34108C5E" w:rsidR="00654B11" w:rsidRDefault="004B28EB" w:rsidP="00A20B08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B28EB">
              <w:rPr>
                <w:rFonts w:ascii="Times New Roman" w:hAnsi="Times New Roman"/>
                <w:sz w:val="26"/>
                <w:szCs w:val="26"/>
                <w:highlight w:val="green"/>
              </w:rPr>
              <w:t>У</w:t>
            </w:r>
            <w:r w:rsidR="00515115" w:rsidRPr="00A20B08">
              <w:rPr>
                <w:rFonts w:ascii="Times New Roman" w:hAnsi="Times New Roman"/>
                <w:sz w:val="26"/>
                <w:szCs w:val="26"/>
              </w:rPr>
              <w:t xml:space="preserve"> громадах з лабораторно визначеним низьким вмістом йоду у питній воді ініціювати питання 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профілактичного </w:t>
            </w:r>
            <w:r w:rsidR="0051511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призначення препаратів, що містять йод, 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дитячо</w:t>
            </w:r>
            <w:r w:rsidR="0085653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му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населенн</w:t>
            </w:r>
            <w:r w:rsidR="0085653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ю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, вагітни</w:t>
            </w:r>
            <w:r w:rsidR="0085653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, жінк</w:t>
            </w:r>
            <w:r w:rsidR="0085653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ам, які </w:t>
            </w:r>
            <w:r w:rsidR="00654B1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году</w:t>
            </w:r>
            <w:r w:rsidR="00856535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ють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14:paraId="45630378" w14:textId="06884ACC" w:rsidR="00A20B08" w:rsidRPr="00A20B08" w:rsidRDefault="00A20B08" w:rsidP="00A20B08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0288F8F3" w14:textId="44C0A1F4" w:rsidR="00654B11" w:rsidRPr="00A20B08" w:rsidRDefault="00654B11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703B3CFC" w14:textId="66EC4AF1" w:rsidR="00515115" w:rsidRPr="00A20B08" w:rsidRDefault="00515115" w:rsidP="00A20B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сільських, селищних, міських територіальних громад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14:paraId="781C648A" w14:textId="122D1787" w:rsidR="00515115" w:rsidRPr="00A20B08" w:rsidRDefault="0000513A" w:rsidP="00A20B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Керівники з</w:t>
            </w:r>
            <w:r w:rsidR="004027D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аклад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ів</w:t>
            </w:r>
            <w:r w:rsidR="004027D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охорони здоров’я</w:t>
            </w:r>
            <w:r w:rsidR="00A20B0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14:paraId="4CFCF563" w14:textId="51E640ED" w:rsidR="00654B11" w:rsidRPr="00A20B08" w:rsidRDefault="00515115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Керівники закладів освіти</w:t>
            </w:r>
          </w:p>
        </w:tc>
        <w:tc>
          <w:tcPr>
            <w:tcW w:w="2809" w:type="dxa"/>
          </w:tcPr>
          <w:p w14:paraId="1F5EBD52" w14:textId="5D38E20C" w:rsidR="00654B11" w:rsidRPr="00A20B08" w:rsidRDefault="00654B11" w:rsidP="00A20B08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Зниження захворюваності на </w:t>
            </w:r>
            <w:proofErr w:type="spellStart"/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>йододефіцитні</w:t>
            </w:r>
            <w:proofErr w:type="spellEnd"/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 хвороби серед населення </w:t>
            </w:r>
            <w:r w:rsidR="0037518E"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на </w:t>
            </w:r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>10%</w:t>
            </w:r>
          </w:p>
          <w:p w14:paraId="1091AAEA" w14:textId="77777777" w:rsidR="00654B11" w:rsidRPr="00A20B08" w:rsidRDefault="00654B11" w:rsidP="00654B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05" w:type="dxa"/>
          </w:tcPr>
          <w:p w14:paraId="3F56885B" w14:textId="77777777" w:rsidR="00654B11" w:rsidRPr="00A20B08" w:rsidRDefault="00654B11" w:rsidP="00654B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422EC3A9" w14:textId="77777777" w:rsidTr="00A20B08">
        <w:trPr>
          <w:trHeight w:val="845"/>
        </w:trPr>
        <w:tc>
          <w:tcPr>
            <w:tcW w:w="736" w:type="dxa"/>
          </w:tcPr>
          <w:p w14:paraId="10070BBE" w14:textId="6EBA883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3928" w:type="dxa"/>
          </w:tcPr>
          <w:p w14:paraId="120A2388" w14:textId="61A53321" w:rsidR="00892448" w:rsidRDefault="00892448" w:rsidP="005B7C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Організувати в громадах виїзні </w:t>
            </w:r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«Д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ні здоров'я</w:t>
            </w:r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і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залученням </w:t>
            </w:r>
            <w:proofErr w:type="spellStart"/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мультидисциплінарних</w:t>
            </w:r>
            <w:proofErr w:type="spellEnd"/>
            <w:r w:rsidR="005B7C2B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команд з числа представників закладів охорони здоров’я,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B7C2B"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="005B7C2B"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="005B7C2B"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України», 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Львівськ</w:t>
            </w:r>
            <w:r w:rsidR="00A371B1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ого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національн</w:t>
            </w:r>
            <w:r w:rsidR="00A371B1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ого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медичн</w:t>
            </w:r>
            <w:r w:rsidR="00A371B1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ого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університет</w:t>
            </w:r>
            <w:r w:rsidR="00A371B1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ім.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 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. 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Галицького</w:t>
            </w:r>
            <w:r w:rsidR="00A371B1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та </w:t>
            </w:r>
            <w:r w:rsidR="005B7C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B7C2B" w:rsidRPr="0086670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можливістю</w:t>
            </w:r>
            <w:r w:rsidRPr="0086670A">
              <w:rPr>
                <w:rFonts w:ascii="Times New Roman" w:hAnsi="Times New Roman"/>
                <w:sz w:val="26"/>
                <w:szCs w:val="26"/>
              </w:rPr>
              <w:t xml:space="preserve"> отримати консультацію, пройти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первинний скринінг (наприклад, пальпацію щитовидної залози)</w:t>
            </w:r>
            <w:r w:rsidR="00A371B1" w:rsidRPr="00A20B0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отримати інформацію про необхідність профілакти</w:t>
            </w:r>
            <w:r w:rsidR="00A371B1" w:rsidRPr="00A20B08">
              <w:rPr>
                <w:rFonts w:ascii="Times New Roman" w:hAnsi="Times New Roman"/>
                <w:sz w:val="26"/>
                <w:szCs w:val="26"/>
              </w:rPr>
              <w:t>чних заходів</w:t>
            </w:r>
            <w:r w:rsidR="00A20B08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95A2AE6" w14:textId="661A17A6" w:rsidR="00A20B08" w:rsidRPr="00A20B08" w:rsidRDefault="00A20B08" w:rsidP="005B7C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14:paraId="132CA036" w14:textId="412C79C0" w:rsidR="00892448" w:rsidRPr="00A20B08" w:rsidRDefault="00892448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0D12476A" w14:textId="6E699D15" w:rsidR="00892448" w:rsidRPr="00A20B08" w:rsidRDefault="00D50807" w:rsidP="00A20B08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КНП ЛОР «Львівський обласний клінічний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перинатальний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центр»</w:t>
            </w:r>
            <w:r w:rsidR="00892448" w:rsidRPr="00A20B08"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  <w:t>,</w:t>
            </w:r>
          </w:p>
          <w:p w14:paraId="2243945E" w14:textId="53378009" w:rsidR="00D50807" w:rsidRPr="00A20B08" w:rsidRDefault="00D50807" w:rsidP="00A20B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Заклади охорони здоров’я області, </w:t>
            </w:r>
          </w:p>
          <w:p w14:paraId="1337C791" w14:textId="0164745F" w:rsidR="005B7C2B" w:rsidRPr="00A20B08" w:rsidRDefault="00A371B1" w:rsidP="00A20B08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сільських, селищних, міських територіальних громад,</w:t>
            </w:r>
          </w:p>
          <w:p w14:paraId="114A68C7" w14:textId="6F77B0E4" w:rsidR="00892448" w:rsidRPr="00A20B08" w:rsidRDefault="00A20B08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ДНП «</w:t>
            </w:r>
            <w:r w:rsidR="00892448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Львівський національни</w:t>
            </w:r>
            <w:r w:rsidR="00A371B1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й</w:t>
            </w:r>
            <w:r w:rsidR="00892448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медичний університет ім.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92448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Д.Галицького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»,</w:t>
            </w:r>
            <w:r w:rsidR="00892448" w:rsidRPr="00A20B0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20AE566" w14:textId="05E985BD" w:rsidR="00892448" w:rsidRPr="00A20B08" w:rsidRDefault="00892448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</w:t>
            </w:r>
          </w:p>
        </w:tc>
        <w:tc>
          <w:tcPr>
            <w:tcW w:w="2809" w:type="dxa"/>
          </w:tcPr>
          <w:p w14:paraId="670F5338" w14:textId="1C7F57CC" w:rsidR="00892448" w:rsidRPr="00A20B08" w:rsidRDefault="00892448" w:rsidP="00A20B08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Проведення одного заходу щороку в одній територіальній громаді</w:t>
            </w:r>
          </w:p>
        </w:tc>
        <w:tc>
          <w:tcPr>
            <w:tcW w:w="1605" w:type="dxa"/>
          </w:tcPr>
          <w:p w14:paraId="51F86B07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0B08" w:rsidRPr="00A20B08" w14:paraId="794EC5F8" w14:textId="77777777" w:rsidTr="008321E0">
        <w:trPr>
          <w:trHeight w:val="423"/>
        </w:trPr>
        <w:tc>
          <w:tcPr>
            <w:tcW w:w="15588" w:type="dxa"/>
            <w:gridSpan w:val="6"/>
          </w:tcPr>
          <w:p w14:paraId="2696913E" w14:textId="1980FDFF" w:rsidR="00A20B08" w:rsidRPr="00A20B08" w:rsidRDefault="00A20B08" w:rsidP="008924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20B08">
              <w:rPr>
                <w:rFonts w:ascii="Times New Roman" w:hAnsi="Times New Roman"/>
                <w:b/>
                <w:bCs/>
                <w:sz w:val="26"/>
                <w:szCs w:val="26"/>
              </w:rPr>
              <w:t>ІІ. Забезпечення моніторингу щодо впливу факторів навколишнього середовища на здоров’я населення</w:t>
            </w:r>
          </w:p>
        </w:tc>
      </w:tr>
      <w:tr w:rsidR="00892448" w:rsidRPr="00A20B08" w14:paraId="0B3CACEB" w14:textId="77777777" w:rsidTr="00A20B08">
        <w:tc>
          <w:tcPr>
            <w:tcW w:w="736" w:type="dxa"/>
          </w:tcPr>
          <w:p w14:paraId="5E0DC21D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928" w:type="dxa"/>
          </w:tcPr>
          <w:p w14:paraId="351FCE84" w14:textId="77777777" w:rsidR="00892448" w:rsidRDefault="008C7273" w:rsidP="0089244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Забезпеч</w:t>
            </w:r>
            <w:r w:rsidR="00D22512" w:rsidRPr="00A20B08">
              <w:rPr>
                <w:rFonts w:ascii="Times New Roman" w:hAnsi="Times New Roman"/>
                <w:sz w:val="26"/>
                <w:szCs w:val="26"/>
              </w:rPr>
              <w:t>ити</w:t>
            </w:r>
            <w:r w:rsidRPr="00A20B08">
              <w:rPr>
                <w:rFonts w:ascii="Times New Roman" w:hAnsi="Times New Roman"/>
                <w:bCs/>
                <w:sz w:val="26"/>
                <w:szCs w:val="26"/>
              </w:rPr>
              <w:t xml:space="preserve"> проведення</w:t>
            </w:r>
            <w:r w:rsidR="00892448" w:rsidRPr="00A20B08">
              <w:rPr>
                <w:rFonts w:ascii="Times New Roman" w:hAnsi="Times New Roman"/>
                <w:sz w:val="26"/>
                <w:szCs w:val="26"/>
              </w:rPr>
              <w:t xml:space="preserve"> виробничого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лабораторного </w:t>
            </w:r>
            <w:r w:rsidR="00892448" w:rsidRPr="00A20B08">
              <w:rPr>
                <w:rFonts w:ascii="Times New Roman" w:hAnsi="Times New Roman"/>
                <w:sz w:val="26"/>
                <w:szCs w:val="26"/>
              </w:rPr>
              <w:t xml:space="preserve">контролю якості питної води, що </w:t>
            </w:r>
            <w:r w:rsidR="00892448" w:rsidRPr="00A20B0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подається споживачам, відповідно до вимог Державних санітарних норм і правил «Гігієнічні вимоги до води питної, призначеної для споживання людиною» </w:t>
            </w:r>
            <w:proofErr w:type="spellStart"/>
            <w:r w:rsidR="00892448" w:rsidRPr="00A20B08">
              <w:rPr>
                <w:rFonts w:ascii="Times New Roman" w:hAnsi="Times New Roman"/>
                <w:sz w:val="26"/>
                <w:szCs w:val="26"/>
              </w:rPr>
              <w:t>ДСанПіН</w:t>
            </w:r>
            <w:proofErr w:type="spellEnd"/>
            <w:r w:rsidR="00892448" w:rsidRPr="00A20B08">
              <w:rPr>
                <w:rFonts w:ascii="Times New Roman" w:hAnsi="Times New Roman"/>
                <w:sz w:val="26"/>
                <w:szCs w:val="26"/>
              </w:rPr>
              <w:t xml:space="preserve"> 2.2.4-171-10, </w:t>
            </w:r>
            <w:r w:rsidR="00735A9A" w:rsidRPr="00A20B08">
              <w:rPr>
                <w:rFonts w:ascii="Times New Roman" w:hAnsi="Times New Roman"/>
                <w:sz w:val="26"/>
                <w:szCs w:val="26"/>
              </w:rPr>
              <w:t>в тому числі</w:t>
            </w:r>
            <w:r w:rsidR="00892448" w:rsidRPr="00A20B08">
              <w:rPr>
                <w:rFonts w:ascii="Times New Roman" w:hAnsi="Times New Roman"/>
                <w:sz w:val="26"/>
                <w:szCs w:val="26"/>
              </w:rPr>
              <w:t xml:space="preserve"> за вмістом йоду, як показника фізіологічної повноцінності мінерального складу води</w:t>
            </w:r>
            <w:r w:rsidR="00A20B08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0DCB8A9" w14:textId="14F5CF56" w:rsidR="00A20B08" w:rsidRPr="00A20B08" w:rsidRDefault="00A20B08" w:rsidP="0089244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3EA51B56" w14:textId="0D71261B" w:rsidR="00892448" w:rsidRPr="00A20B08" w:rsidRDefault="00892448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2026 - 2030 роки</w:t>
            </w:r>
          </w:p>
        </w:tc>
        <w:tc>
          <w:tcPr>
            <w:tcW w:w="4799" w:type="dxa"/>
          </w:tcPr>
          <w:p w14:paraId="3300E68A" w14:textId="36C1163B" w:rsidR="00892448" w:rsidRPr="00A20B08" w:rsidRDefault="00892448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Суб'єкти господарювання, що надають послуги водопостачання населенню </w:t>
            </w:r>
          </w:p>
        </w:tc>
        <w:tc>
          <w:tcPr>
            <w:tcW w:w="2809" w:type="dxa"/>
          </w:tcPr>
          <w:p w14:paraId="4499026A" w14:textId="39A4C019" w:rsidR="00892448" w:rsidRPr="00A20B08" w:rsidRDefault="00892448" w:rsidP="00A20B08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Досягнення показника кількості водопроводів (комунальних,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відомчих, сільських), які забезпечили лабораторний контроль якості води питної, що споживає населення, щодо вмісту йоду до 20%</w:t>
            </w:r>
          </w:p>
        </w:tc>
        <w:tc>
          <w:tcPr>
            <w:tcW w:w="1605" w:type="dxa"/>
          </w:tcPr>
          <w:p w14:paraId="3CFE84E2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60456F2D" w14:textId="77777777" w:rsidTr="00A20B08">
        <w:trPr>
          <w:trHeight w:val="416"/>
        </w:trPr>
        <w:tc>
          <w:tcPr>
            <w:tcW w:w="736" w:type="dxa"/>
          </w:tcPr>
          <w:p w14:paraId="31C26C8B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3928" w:type="dxa"/>
          </w:tcPr>
          <w:p w14:paraId="6B1FF92B" w14:textId="77777777" w:rsidR="00892448" w:rsidRDefault="00892448" w:rsidP="00F40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Забезпечити систематичне проведення вибіркових лабораторних досліджень якості питної води з централізованих мереж водопостачання, у тому числі відомчих, сільських та локальних водопроводів, зокрема щодо вмісту йоду, як показника фізіологічної повноцінності мінерального складу води (відповідно до додатку 4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ДСанПіН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2.2.4-171-10)</w:t>
            </w:r>
            <w:r w:rsidR="00F40378" w:rsidRPr="00A20B08">
              <w:rPr>
                <w:rFonts w:ascii="Times New Roman" w:hAnsi="Times New Roman"/>
                <w:sz w:val="26"/>
                <w:szCs w:val="26"/>
              </w:rPr>
              <w:t>, згідно з планом моніторингових досліджень</w:t>
            </w:r>
            <w:r w:rsidR="00F40378" w:rsidRPr="00A20B0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F40378" w:rsidRPr="00A20B08">
              <w:rPr>
                <w:rFonts w:ascii="Times New Roman" w:hAnsi="Times New Roman"/>
                <w:bCs/>
                <w:sz w:val="26"/>
                <w:szCs w:val="26"/>
              </w:rPr>
              <w:t>об’єктів довкілля та факторів середовища життєдіяльності людини Львівської області</w:t>
            </w:r>
            <w:r w:rsidR="00A20B08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14:paraId="0ACADAAE" w14:textId="2D993F59" w:rsidR="00A20B08" w:rsidRPr="00A20B08" w:rsidRDefault="00A20B08" w:rsidP="00F403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2333F1F2" w14:textId="513859CB" w:rsidR="00892448" w:rsidRPr="00A20B08" w:rsidRDefault="00892448" w:rsidP="00A20B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1AD59540" w14:textId="1CE59E84" w:rsidR="00892448" w:rsidRPr="00A20B08" w:rsidRDefault="00892448" w:rsidP="00A20B0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</w:t>
            </w:r>
          </w:p>
        </w:tc>
        <w:tc>
          <w:tcPr>
            <w:tcW w:w="2809" w:type="dxa"/>
          </w:tcPr>
          <w:p w14:paraId="0ECB84E8" w14:textId="14DE69B4" w:rsidR="00892448" w:rsidRPr="00A20B08" w:rsidRDefault="00892448" w:rsidP="00A20B08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F40378"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абезпечення виконання плану</w:t>
            </w:r>
            <w:r w:rsidR="00F40378" w:rsidRPr="00A20B08">
              <w:rPr>
                <w:rFonts w:ascii="Times New Roman" w:hAnsi="Times New Roman"/>
                <w:sz w:val="26"/>
                <w:szCs w:val="26"/>
              </w:rPr>
              <w:t xml:space="preserve"> моніторингових досліджень</w:t>
            </w:r>
            <w:r w:rsidR="00F40378"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</w:t>
            </w:r>
            <w:r w:rsidR="00F40378"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0%</w:t>
            </w:r>
            <w:r w:rsidR="00F40378"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щороку </w:t>
            </w:r>
          </w:p>
        </w:tc>
        <w:tc>
          <w:tcPr>
            <w:tcW w:w="1605" w:type="dxa"/>
          </w:tcPr>
          <w:p w14:paraId="30B664CA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737697B9" w14:textId="77777777" w:rsidTr="00A20B08">
        <w:tc>
          <w:tcPr>
            <w:tcW w:w="736" w:type="dxa"/>
          </w:tcPr>
          <w:p w14:paraId="3149F746" w14:textId="7F5BBFDA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3928" w:type="dxa"/>
          </w:tcPr>
          <w:p w14:paraId="7DA0188F" w14:textId="257F36AA" w:rsidR="00892448" w:rsidRPr="00A20B08" w:rsidRDefault="00892448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Здійснювати моніторинг рівня йоду в питній воді з нецентралізованих джерел, яку споживає населення Львівської області, для оцінки ризику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йододефіцитних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станів</w:t>
            </w:r>
            <w:r w:rsidR="007A10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01DB27E1" w14:textId="0348C2A5" w:rsidR="00892448" w:rsidRPr="00A20B08" w:rsidRDefault="00892448" w:rsidP="007A10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4F959504" w14:textId="35EFB932" w:rsidR="00892448" w:rsidRPr="00A20B08" w:rsidRDefault="00892448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 </w:t>
            </w:r>
          </w:p>
        </w:tc>
        <w:tc>
          <w:tcPr>
            <w:tcW w:w="2809" w:type="dxa"/>
          </w:tcPr>
          <w:p w14:paraId="3336284A" w14:textId="77777777" w:rsidR="0089244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Збільшення кількості лабораторних досліджень для контролю якості води питної, що споживає населення, щодо вмісту йоду на 20%</w:t>
            </w:r>
          </w:p>
          <w:p w14:paraId="38828FBA" w14:textId="656A1F0D" w:rsidR="00A05364" w:rsidRPr="00A20B08" w:rsidRDefault="00A05364" w:rsidP="00A05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05" w:type="dxa"/>
          </w:tcPr>
          <w:p w14:paraId="03D091D0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0EC1956F" w14:textId="77777777" w:rsidTr="00A20B08">
        <w:tc>
          <w:tcPr>
            <w:tcW w:w="736" w:type="dxa"/>
          </w:tcPr>
          <w:p w14:paraId="68754165" w14:textId="6C9CA5CC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2.4.</w:t>
            </w:r>
          </w:p>
        </w:tc>
        <w:tc>
          <w:tcPr>
            <w:tcW w:w="3928" w:type="dxa"/>
          </w:tcPr>
          <w:p w14:paraId="755A9D80" w14:textId="3FB46E4F" w:rsidR="00892448" w:rsidRPr="00A20B08" w:rsidRDefault="00892448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Інформува</w:t>
            </w:r>
            <w:r w:rsidR="00A54B4E" w:rsidRPr="00A20B08">
              <w:rPr>
                <w:rFonts w:ascii="Times New Roman" w:hAnsi="Times New Roman"/>
                <w:sz w:val="26"/>
                <w:szCs w:val="26"/>
              </w:rPr>
              <w:t>ти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населення щодо якості та безпечності питної води, що подається споживачам, у тому числі про вміст йоду, як одного з важливих мікроелементів, що впливають на стан щитоподібної залози та загальне здоров’я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3059213A" w14:textId="0E11A6FF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65A45F2D" w14:textId="4EB3FB7C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Керівники підприємств водопровідно-каналізаційного господарства області,</w:t>
            </w:r>
          </w:p>
          <w:p w14:paraId="6DE42228" w14:textId="7777777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Голови районних військових адміністрацій,</w:t>
            </w:r>
          </w:p>
          <w:p w14:paraId="51296BC2" w14:textId="214A8EFD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Голови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сільських, селищних, міських територіальних громад,</w:t>
            </w:r>
          </w:p>
          <w:p w14:paraId="259654E7" w14:textId="77777777" w:rsidR="0089244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 </w:t>
            </w:r>
          </w:p>
          <w:p w14:paraId="51D745D7" w14:textId="1F3A95ED" w:rsidR="00A05364" w:rsidRPr="00A20B08" w:rsidRDefault="00A05364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4A9F2292" w14:textId="1E1AA10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Щокварталу оприлюднювати  інформацію щодо якості питної води для споживачів на власних інформаційних ресурсах</w:t>
            </w:r>
          </w:p>
        </w:tc>
        <w:tc>
          <w:tcPr>
            <w:tcW w:w="1605" w:type="dxa"/>
          </w:tcPr>
          <w:p w14:paraId="55FE103B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5364" w:rsidRPr="00A20B08" w14:paraId="643A39EA" w14:textId="77777777" w:rsidTr="00DC2CCC">
        <w:tc>
          <w:tcPr>
            <w:tcW w:w="15588" w:type="dxa"/>
            <w:gridSpan w:val="6"/>
          </w:tcPr>
          <w:p w14:paraId="0F50205A" w14:textId="0E8AB5B4" w:rsidR="00A05364" w:rsidRPr="00A05364" w:rsidRDefault="00A05364" w:rsidP="008924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0536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ІІІ. Забезпечення моніторингу щодо задоволення потреб населення йодованою сіллю </w:t>
            </w:r>
          </w:p>
          <w:p w14:paraId="3B0FFF28" w14:textId="77777777" w:rsidR="00A05364" w:rsidRPr="00A05364" w:rsidRDefault="00A05364" w:rsidP="008924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0536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та </w:t>
            </w:r>
            <w:proofErr w:type="spellStart"/>
            <w:r w:rsidRPr="00A05364">
              <w:rPr>
                <w:rFonts w:ascii="Times New Roman" w:hAnsi="Times New Roman"/>
                <w:b/>
                <w:bCs/>
                <w:sz w:val="26"/>
                <w:szCs w:val="26"/>
              </w:rPr>
              <w:t>йодовмісними</w:t>
            </w:r>
            <w:proofErr w:type="spellEnd"/>
            <w:r w:rsidRPr="00A0536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продуктами харчування</w:t>
            </w:r>
          </w:p>
          <w:p w14:paraId="0FF5D006" w14:textId="7A69773B" w:rsidR="00A05364" w:rsidRPr="00A05364" w:rsidRDefault="00A05364" w:rsidP="008924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92448" w:rsidRPr="00A20B08" w14:paraId="3BE2A531" w14:textId="77777777" w:rsidTr="00A20B08">
        <w:tc>
          <w:tcPr>
            <w:tcW w:w="736" w:type="dxa"/>
          </w:tcPr>
          <w:p w14:paraId="76CC947F" w14:textId="58C92011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3928" w:type="dxa"/>
          </w:tcPr>
          <w:p w14:paraId="49D53584" w14:textId="77777777" w:rsidR="00892448" w:rsidRDefault="00892448" w:rsidP="00892448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20B08">
              <w:rPr>
                <w:sz w:val="26"/>
                <w:szCs w:val="26"/>
                <w:lang w:val="uk-UA"/>
              </w:rPr>
              <w:t xml:space="preserve">Контролювати використання йодованої кухонної солі, інших </w:t>
            </w:r>
            <w:proofErr w:type="spellStart"/>
            <w:r w:rsidRPr="00A20B08">
              <w:rPr>
                <w:sz w:val="26"/>
                <w:szCs w:val="26"/>
                <w:lang w:val="uk-UA"/>
              </w:rPr>
              <w:t>йодовмісних</w:t>
            </w:r>
            <w:proofErr w:type="spellEnd"/>
            <w:r w:rsidRPr="00A20B08">
              <w:rPr>
                <w:sz w:val="26"/>
                <w:szCs w:val="26"/>
                <w:lang w:val="uk-UA"/>
              </w:rPr>
              <w:t xml:space="preserve"> продуктів харчування під час приготування страв у закладах дошкільної, загальної середньої освіти, а також у дитячих закладах оздоровлення та відпочинку</w:t>
            </w:r>
            <w:r w:rsidR="00A05364">
              <w:rPr>
                <w:sz w:val="26"/>
                <w:szCs w:val="26"/>
                <w:lang w:val="uk-UA"/>
              </w:rPr>
              <w:t>.</w:t>
            </w:r>
          </w:p>
          <w:p w14:paraId="2169D316" w14:textId="2E7140F1" w:rsidR="00A05364" w:rsidRPr="00A20B08" w:rsidRDefault="00A05364" w:rsidP="00892448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711" w:type="dxa"/>
          </w:tcPr>
          <w:p w14:paraId="73D3C2A3" w14:textId="0907A556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382C6AD9" w14:textId="7504BC35" w:rsidR="008C2DB0" w:rsidRPr="00A20B08" w:rsidRDefault="008C2DB0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Департамент освіти і науки </w:t>
            </w:r>
            <w:r w:rsidR="00A05364">
              <w:rPr>
                <w:rFonts w:ascii="Times New Roman" w:hAnsi="Times New Roman"/>
                <w:sz w:val="26"/>
                <w:szCs w:val="26"/>
              </w:rPr>
              <w:t>облдержадміністрації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2749C4B4" w14:textId="5CDF6849" w:rsidR="008C2DB0" w:rsidRPr="00A20B08" w:rsidRDefault="008C2DB0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Відділи освіти органів місцевого самоврядування,</w:t>
            </w:r>
          </w:p>
          <w:p w14:paraId="1DDEEAA4" w14:textId="7AB38162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Керівники закладів освіти, дитячих закладів оздоровлення та відпочинку</w:t>
            </w:r>
          </w:p>
        </w:tc>
        <w:tc>
          <w:tcPr>
            <w:tcW w:w="2809" w:type="dxa"/>
          </w:tcPr>
          <w:p w14:paraId="0BDC6023" w14:textId="5B76C18B" w:rsidR="00892448" w:rsidRPr="00A20B08" w:rsidRDefault="00892448" w:rsidP="00A0536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Збільшення доступності до йодованої солі та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йодовмісних</w:t>
            </w:r>
            <w:proofErr w:type="spellEnd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продуктів харчування для споживачів на 50%</w:t>
            </w:r>
          </w:p>
        </w:tc>
        <w:tc>
          <w:tcPr>
            <w:tcW w:w="1605" w:type="dxa"/>
          </w:tcPr>
          <w:p w14:paraId="2060C7ED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5D6D1F10" w14:textId="77777777" w:rsidTr="00A20B08">
        <w:tc>
          <w:tcPr>
            <w:tcW w:w="736" w:type="dxa"/>
          </w:tcPr>
          <w:p w14:paraId="6E648990" w14:textId="19F02EF0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3928" w:type="dxa"/>
          </w:tcPr>
          <w:p w14:paraId="5F959B7C" w14:textId="77777777" w:rsidR="00892448" w:rsidRDefault="00892448" w:rsidP="0089244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Забезпечити систематичний контроль за умовами зберігання, транспортування та реалізації йодованої кухонної солі в мережах гуртової та роздрібної торгівлі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1FE4669" w14:textId="3ADD8720" w:rsidR="00A05364" w:rsidRPr="00A20B08" w:rsidRDefault="00A05364" w:rsidP="0089244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32DFEF9B" w14:textId="226F0EC4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6E851E7B" w14:textId="7777777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Керівники підприємств гуртової та  роздрібної торгівлі області</w:t>
            </w:r>
          </w:p>
          <w:p w14:paraId="53F7CF65" w14:textId="77777777" w:rsidR="00892448" w:rsidRPr="00A20B08" w:rsidRDefault="00892448" w:rsidP="008924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64DC3779" w14:textId="79123859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Дотримання умов зберігання, транспортування та реалізації у 100% випадків</w:t>
            </w:r>
          </w:p>
        </w:tc>
        <w:tc>
          <w:tcPr>
            <w:tcW w:w="1605" w:type="dxa"/>
          </w:tcPr>
          <w:p w14:paraId="6F48F85E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3C4F4B13" w14:textId="77777777" w:rsidTr="00A20B08">
        <w:tc>
          <w:tcPr>
            <w:tcW w:w="736" w:type="dxa"/>
          </w:tcPr>
          <w:p w14:paraId="28CCA7A4" w14:textId="2E457BDD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3928" w:type="dxa"/>
          </w:tcPr>
          <w:p w14:paraId="1406D431" w14:textId="77777777" w:rsidR="00892448" w:rsidRDefault="00892448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Здійснювати контроль за дотриманням регламентованих законодавством вимог до упаковки </w:t>
            </w:r>
            <w:r w:rsidR="008C2DB0" w:rsidRPr="00A20B08">
              <w:rPr>
                <w:rFonts w:ascii="Times New Roman" w:hAnsi="Times New Roman"/>
                <w:sz w:val="26"/>
                <w:szCs w:val="26"/>
              </w:rPr>
              <w:t xml:space="preserve">збагачених йодом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харчових продуктів</w:t>
            </w:r>
            <w:r w:rsidR="008C2DB0" w:rsidRPr="00A20B08">
              <w:rPr>
                <w:rFonts w:ascii="Times New Roman" w:hAnsi="Times New Roman"/>
                <w:sz w:val="26"/>
                <w:szCs w:val="26"/>
              </w:rPr>
              <w:t xml:space="preserve"> під час проведення планових заходів державного нагляду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(після закінчення воєнного стану або </w:t>
            </w:r>
            <w:r w:rsidR="007656EF" w:rsidRPr="00A20B08">
              <w:rPr>
                <w:rFonts w:ascii="Times New Roman" w:hAnsi="Times New Roman"/>
                <w:sz w:val="26"/>
                <w:szCs w:val="26"/>
              </w:rPr>
              <w:t xml:space="preserve">після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прийняття</w:t>
            </w:r>
            <w:r w:rsidR="007656EF" w:rsidRPr="00A20B08">
              <w:rPr>
                <w:rFonts w:ascii="Times New Roman" w:hAnsi="Times New Roman"/>
                <w:sz w:val="26"/>
                <w:szCs w:val="26"/>
              </w:rPr>
              <w:t xml:space="preserve"> змін у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законодав</w:t>
            </w:r>
            <w:r w:rsidR="007656EF" w:rsidRPr="00A20B08">
              <w:rPr>
                <w:rFonts w:ascii="Times New Roman" w:hAnsi="Times New Roman"/>
                <w:sz w:val="26"/>
                <w:szCs w:val="26"/>
              </w:rPr>
              <w:t>стві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)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E480C0E" w14:textId="1D5D0147" w:rsidR="00A05364" w:rsidRPr="00A20B08" w:rsidRDefault="00A05364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3D0347E2" w14:textId="326B3C71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6670DD86" w14:textId="1119198E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Г</w:t>
            </w:r>
            <w:r w:rsidR="00A05364">
              <w:rPr>
                <w:rFonts w:ascii="Times New Roman" w:hAnsi="Times New Roman"/>
                <w:sz w:val="26"/>
                <w:szCs w:val="26"/>
              </w:rPr>
              <w:t xml:space="preserve">оловне управління </w:t>
            </w:r>
            <w:proofErr w:type="spellStart"/>
            <w:r w:rsidR="00A05364">
              <w:rPr>
                <w:rFonts w:ascii="Times New Roman" w:hAnsi="Times New Roman"/>
                <w:sz w:val="26"/>
                <w:szCs w:val="26"/>
              </w:rPr>
              <w:t>Д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ержпродспоживслужби</w:t>
            </w:r>
            <w:proofErr w:type="spellEnd"/>
            <w:r w:rsidR="00A053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у Львівській області</w:t>
            </w:r>
          </w:p>
          <w:p w14:paraId="61DA0480" w14:textId="77777777" w:rsidR="00892448" w:rsidRPr="00A20B08" w:rsidRDefault="00892448" w:rsidP="008924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03EB8137" w14:textId="546909EC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Дотримання виробниками </w:t>
            </w:r>
            <w:r w:rsidR="007656EF" w:rsidRPr="00A20B08">
              <w:rPr>
                <w:rFonts w:ascii="Times New Roman" w:hAnsi="Times New Roman"/>
                <w:sz w:val="26"/>
                <w:szCs w:val="26"/>
              </w:rPr>
              <w:t xml:space="preserve">вимог до упаковки харчових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продуктів, збагачених йодом</w:t>
            </w:r>
            <w:r w:rsidR="007656EF" w:rsidRPr="00A20B0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у 100% випадків</w:t>
            </w:r>
          </w:p>
        </w:tc>
        <w:tc>
          <w:tcPr>
            <w:tcW w:w="1605" w:type="dxa"/>
          </w:tcPr>
          <w:p w14:paraId="7CC8BEDE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2448" w:rsidRPr="00A20B08" w14:paraId="61F79038" w14:textId="77777777" w:rsidTr="00A20B08">
        <w:tc>
          <w:tcPr>
            <w:tcW w:w="736" w:type="dxa"/>
          </w:tcPr>
          <w:p w14:paraId="48FFFEA1" w14:textId="731DBA2D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3928" w:type="dxa"/>
          </w:tcPr>
          <w:p w14:paraId="45011F54" w14:textId="77777777" w:rsidR="00892448" w:rsidRDefault="00892448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Рекомендувати розробку технологій та розширення асортименту виробництва продуктів харчування, збагачених йодом, селеном, залізом та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мікронутрієнтами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(мінеральна вода, хліб, дріжджі, йодне молоко (йогурти) тощо)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1FD84174" w14:textId="5BD63D79" w:rsidR="00A05364" w:rsidRPr="00A20B08" w:rsidRDefault="00A05364" w:rsidP="0089244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4653C63F" w14:textId="2B87B04D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0F834581" w14:textId="77777777" w:rsidR="00892448" w:rsidRPr="00A20B08" w:rsidRDefault="00892448" w:rsidP="00A05364">
            <w:pPr>
              <w:spacing w:after="0" w:line="240" w:lineRule="auto"/>
              <w:jc w:val="both"/>
              <w:rPr>
                <w:rStyle w:val="af1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Департамент економічної політики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облдержадміністрації,</w:t>
            </w:r>
            <w:r w:rsidRPr="00A20B08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 w:rsidRPr="00A20B08">
              <w:rPr>
                <w:rFonts w:ascii="Times New Roman" w:hAnsi="Times New Roman"/>
                <w:sz w:val="26"/>
                <w:szCs w:val="26"/>
              </w:rPr>
              <w:instrText>HYPERLINK "https://loda.gov.ua/structural-unit/17057"</w:instrText>
            </w:r>
            <w:r w:rsidRPr="00A20B0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</w:p>
          <w:p w14:paraId="3A0E1CF0" w14:textId="7777777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Style w:val="af1"/>
                <w:rFonts w:ascii="Times New Roman" w:hAnsi="Times New Roman"/>
                <w:color w:val="auto"/>
                <w:sz w:val="26"/>
                <w:szCs w:val="26"/>
                <w:u w:val="none"/>
              </w:rPr>
              <w:t xml:space="preserve">Департамент агропромислового розвитку </w:t>
            </w: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облдержадміністрації,</w:t>
            </w:r>
            <w:r w:rsidRPr="00A20B08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  <w:p w14:paraId="4A78EA12" w14:textId="3DDC06FC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Суб'єкти господарювання, </w:t>
            </w:r>
          </w:p>
          <w:p w14:paraId="72E31E5D" w14:textId="1E0C28F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</w:t>
            </w:r>
          </w:p>
        </w:tc>
        <w:tc>
          <w:tcPr>
            <w:tcW w:w="2809" w:type="dxa"/>
          </w:tcPr>
          <w:p w14:paraId="0E10D2C5" w14:textId="408B81F0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Розширення асортименту виробництва продуктів харчування, збагачених йодом, селеном, залізом та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мікронутрієнтами</w:t>
            </w:r>
            <w:proofErr w:type="spellEnd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10%</w:t>
            </w:r>
          </w:p>
        </w:tc>
        <w:tc>
          <w:tcPr>
            <w:tcW w:w="1605" w:type="dxa"/>
          </w:tcPr>
          <w:p w14:paraId="36728225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5364" w:rsidRPr="00A20B08" w14:paraId="6986379C" w14:textId="77777777" w:rsidTr="005F5BAD">
        <w:trPr>
          <w:trHeight w:val="352"/>
        </w:trPr>
        <w:tc>
          <w:tcPr>
            <w:tcW w:w="15588" w:type="dxa"/>
            <w:gridSpan w:val="6"/>
          </w:tcPr>
          <w:p w14:paraId="42198EC0" w14:textId="66916ABF" w:rsidR="00A05364" w:rsidRPr="00A05364" w:rsidRDefault="00A05364" w:rsidP="00892448">
            <w:pPr>
              <w:pStyle w:val="docdata"/>
              <w:spacing w:before="0" w:beforeAutospacing="0" w:after="200" w:afterAutospacing="0"/>
              <w:jc w:val="center"/>
              <w:rPr>
                <w:b/>
                <w:sz w:val="26"/>
                <w:szCs w:val="26"/>
              </w:rPr>
            </w:pPr>
            <w:r w:rsidRPr="00A05364">
              <w:rPr>
                <w:b/>
                <w:color w:val="000000"/>
                <w:sz w:val="26"/>
                <w:szCs w:val="26"/>
                <w:lang w:val="en-US"/>
              </w:rPr>
              <w:t>IV</w:t>
            </w:r>
            <w:r w:rsidRPr="00A05364">
              <w:rPr>
                <w:b/>
                <w:color w:val="000000"/>
                <w:sz w:val="26"/>
                <w:szCs w:val="26"/>
              </w:rPr>
              <w:t>. Забезпечення стратегічного керівництва у сфері громадського здоров’я</w:t>
            </w:r>
          </w:p>
        </w:tc>
      </w:tr>
      <w:tr w:rsidR="00892448" w:rsidRPr="00A20B08" w14:paraId="57428922" w14:textId="77777777" w:rsidTr="00A20B08">
        <w:tc>
          <w:tcPr>
            <w:tcW w:w="736" w:type="dxa"/>
          </w:tcPr>
          <w:p w14:paraId="4D936323" w14:textId="2EEABBF4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Hlk213542551"/>
            <w:r w:rsidRPr="00A20B08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3928" w:type="dxa"/>
          </w:tcPr>
          <w:p w14:paraId="6ABD6C43" w14:textId="77777777" w:rsidR="00892448" w:rsidRDefault="00892448" w:rsidP="00892448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20B08">
              <w:rPr>
                <w:sz w:val="26"/>
                <w:szCs w:val="26"/>
                <w:lang w:val="uk-UA"/>
              </w:rPr>
              <w:t xml:space="preserve">Розглянути можливість виділення коштів з місцевих </w:t>
            </w:r>
            <w:r w:rsidRPr="00A20B08">
              <w:rPr>
                <w:sz w:val="26"/>
                <w:szCs w:val="26"/>
                <w:lang w:val="uk-UA"/>
              </w:rPr>
              <w:lastRenderedPageBreak/>
              <w:t>бюджетів на заходи з лабораторного моніторингу мікроелементного складу питної води, проведення інформаційно-просвітницьких заходів, закупівлю йодованої солі для закладів освіти та охорони здоров’я</w:t>
            </w:r>
            <w:r w:rsidR="00A05364">
              <w:rPr>
                <w:sz w:val="26"/>
                <w:szCs w:val="26"/>
                <w:lang w:val="uk-UA"/>
              </w:rPr>
              <w:t>.</w:t>
            </w:r>
          </w:p>
          <w:p w14:paraId="2A4F13D4" w14:textId="1EFCFE88" w:rsidR="00A05364" w:rsidRPr="00A20B08" w:rsidRDefault="00A05364" w:rsidP="00892448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711" w:type="dxa"/>
          </w:tcPr>
          <w:p w14:paraId="36B864E3" w14:textId="3EE764CE" w:rsidR="00892448" w:rsidRPr="00A20B08" w:rsidRDefault="00892448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2026 - 2030 роки</w:t>
            </w:r>
          </w:p>
        </w:tc>
        <w:tc>
          <w:tcPr>
            <w:tcW w:w="4799" w:type="dxa"/>
          </w:tcPr>
          <w:p w14:paraId="5F6A375E" w14:textId="7777777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районних військових адміністрацій,</w:t>
            </w:r>
          </w:p>
          <w:p w14:paraId="45CA92D3" w14:textId="77777777" w:rsidR="00892448" w:rsidRPr="00A20B08" w:rsidRDefault="00892448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Голови сільських, селищних, міських територіальних громад</w:t>
            </w:r>
            <w:r w:rsidR="00A54B4E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14:paraId="5B032D22" w14:textId="0FEC95F2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Обласна, районні, міські, селищні, сільські ради</w:t>
            </w:r>
          </w:p>
        </w:tc>
        <w:tc>
          <w:tcPr>
            <w:tcW w:w="2809" w:type="dxa"/>
          </w:tcPr>
          <w:p w14:paraId="23E754EF" w14:textId="43F0D003" w:rsidR="00892448" w:rsidRPr="00A20B08" w:rsidRDefault="00892448" w:rsidP="00A05364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A20B08">
              <w:rPr>
                <w:color w:val="000000"/>
                <w:sz w:val="26"/>
                <w:szCs w:val="26"/>
                <w:lang w:eastAsia="en-US"/>
              </w:rPr>
              <w:lastRenderedPageBreak/>
              <w:t>В</w:t>
            </w:r>
            <w:r w:rsidRPr="00A20B08">
              <w:rPr>
                <w:sz w:val="26"/>
                <w:szCs w:val="26"/>
              </w:rPr>
              <w:t>иділення коштів для</w:t>
            </w:r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A20B08">
              <w:rPr>
                <w:sz w:val="26"/>
                <w:szCs w:val="26"/>
              </w:rPr>
              <w:t xml:space="preserve">закладів освіти та </w:t>
            </w:r>
            <w:r w:rsidRPr="00A20B08">
              <w:rPr>
                <w:sz w:val="26"/>
                <w:szCs w:val="26"/>
              </w:rPr>
              <w:lastRenderedPageBreak/>
              <w:t>охорони здоров’я</w:t>
            </w:r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у 10% територіальних громад</w:t>
            </w:r>
          </w:p>
        </w:tc>
        <w:tc>
          <w:tcPr>
            <w:tcW w:w="1605" w:type="dxa"/>
          </w:tcPr>
          <w:p w14:paraId="7CB217A8" w14:textId="77777777" w:rsidR="00892448" w:rsidRPr="00A20B08" w:rsidRDefault="00892448" w:rsidP="0089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  <w:tr w:rsidR="00A54B4E" w:rsidRPr="00A20B08" w14:paraId="5460BA40" w14:textId="77777777" w:rsidTr="00A20B08">
        <w:tc>
          <w:tcPr>
            <w:tcW w:w="736" w:type="dxa"/>
          </w:tcPr>
          <w:p w14:paraId="0B61362B" w14:textId="69723E28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4.2.</w:t>
            </w:r>
          </w:p>
        </w:tc>
        <w:tc>
          <w:tcPr>
            <w:tcW w:w="3928" w:type="dxa"/>
          </w:tcPr>
          <w:p w14:paraId="2B67D23C" w14:textId="7FEF43C4" w:rsidR="00A54B4E" w:rsidRPr="00A20B08" w:rsidRDefault="00A54B4E" w:rsidP="00A54B4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Впровадження місцевих програм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>, зокрема шляхом популяризації вживання йодованої солі та продуктів, збагачених йодом, через освітні кампанії, медіа, заклади освіти, охорони здоров’я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48F90DA1" w14:textId="352293CE" w:rsidR="00A54B4E" w:rsidRPr="00A20B08" w:rsidRDefault="00A54B4E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0A8D0BF9" w14:textId="77777777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районних військових адміністрацій,</w:t>
            </w:r>
          </w:p>
          <w:p w14:paraId="158CBE6B" w14:textId="60110388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сільських, селищних, міських територіальних громад</w:t>
            </w:r>
          </w:p>
        </w:tc>
        <w:tc>
          <w:tcPr>
            <w:tcW w:w="2809" w:type="dxa"/>
          </w:tcPr>
          <w:p w14:paraId="5371DC0C" w14:textId="529C4B06" w:rsidR="00A54B4E" w:rsidRPr="00A20B08" w:rsidRDefault="00A54B4E" w:rsidP="00A05364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A20B08">
              <w:rPr>
                <w:sz w:val="26"/>
                <w:szCs w:val="26"/>
              </w:rPr>
              <w:t xml:space="preserve">Впровадження місцевих програм профілактики </w:t>
            </w:r>
            <w:proofErr w:type="spellStart"/>
            <w:r w:rsidRPr="00A20B08">
              <w:rPr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sz w:val="26"/>
                <w:szCs w:val="26"/>
              </w:rPr>
              <w:t xml:space="preserve"> </w:t>
            </w:r>
            <w:r w:rsidRPr="00A20B08">
              <w:rPr>
                <w:color w:val="000000"/>
                <w:sz w:val="26"/>
                <w:szCs w:val="26"/>
                <w:lang w:eastAsia="en-US"/>
              </w:rPr>
              <w:t>у 10% територіальних громад</w:t>
            </w:r>
          </w:p>
        </w:tc>
        <w:tc>
          <w:tcPr>
            <w:tcW w:w="1605" w:type="dxa"/>
          </w:tcPr>
          <w:p w14:paraId="521395A5" w14:textId="77777777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4B4E" w:rsidRPr="00A20B08" w14:paraId="1AD9F67C" w14:textId="77777777" w:rsidTr="00A20B08">
        <w:tc>
          <w:tcPr>
            <w:tcW w:w="736" w:type="dxa"/>
          </w:tcPr>
          <w:p w14:paraId="2073B9EA" w14:textId="7BDC55F0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4.3.</w:t>
            </w:r>
          </w:p>
        </w:tc>
        <w:tc>
          <w:tcPr>
            <w:tcW w:w="3928" w:type="dxa"/>
          </w:tcPr>
          <w:p w14:paraId="12B009D2" w14:textId="1907B8F5" w:rsidR="00A54B4E" w:rsidRPr="00A20B08" w:rsidRDefault="00A54B4E" w:rsidP="00A54B4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Організувати проведення широкої інформаційної кампанії для населення щодо причин захворюваності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йододефіцитними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хворобами,  популяризації знань серед населення, в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>. дитячого, щодо споживання продуктів харчування, збагачених йодом</w:t>
            </w:r>
            <w:r w:rsidR="00A0536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06757F88" w14:textId="18A9265B" w:rsidR="00A54B4E" w:rsidRPr="00A20B08" w:rsidRDefault="00A54B4E" w:rsidP="00A053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41E70DBB" w14:textId="77777777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районних військових адміністрацій,</w:t>
            </w:r>
          </w:p>
          <w:p w14:paraId="63800277" w14:textId="77777777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Голови сільських, селищних, міських територіальних громад,</w:t>
            </w:r>
          </w:p>
          <w:p w14:paraId="26D222F1" w14:textId="075859F7" w:rsidR="00A54B4E" w:rsidRPr="00A20B08" w:rsidRDefault="00A54B4E" w:rsidP="00A053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Департамент охорони здоров’я облдержадміністрації,</w:t>
            </w:r>
          </w:p>
          <w:p w14:paraId="66933CDC" w14:textId="77777777" w:rsidR="00A54B4E" w:rsidRPr="00A20B08" w:rsidRDefault="00A54B4E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Департамент комунікації та внутрішньої політики,</w:t>
            </w:r>
          </w:p>
          <w:p w14:paraId="0C99CFD0" w14:textId="61B18FAA" w:rsidR="00A54B4E" w:rsidRPr="00A20B08" w:rsidRDefault="00A54B4E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Департамент освіти і науки облдержадміністрації,</w:t>
            </w:r>
          </w:p>
          <w:p w14:paraId="4A97F1D3" w14:textId="2C533BF2" w:rsidR="00A54B4E" w:rsidRPr="00A20B08" w:rsidRDefault="00A05364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ДНП «</w:t>
            </w:r>
            <w:r w:rsidR="00A54B4E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Львівський національних медичний університет </w:t>
            </w:r>
            <w:proofErr w:type="spellStart"/>
            <w:r w:rsidR="00A54B4E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ім.Д.Галицького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A54B4E"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A54B4E" w:rsidRPr="00A20B0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B802B7C" w14:textId="3E6BE850" w:rsidR="00A54B4E" w:rsidRPr="00A20B08" w:rsidRDefault="00A54B4E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України»,</w:t>
            </w:r>
          </w:p>
          <w:p w14:paraId="68E60AFC" w14:textId="77777777" w:rsidR="00A54B4E" w:rsidRDefault="00A54B4E" w:rsidP="00A053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Громадські організації</w:t>
            </w:r>
          </w:p>
          <w:p w14:paraId="64AA2765" w14:textId="4CBC250C" w:rsidR="00A05364" w:rsidRPr="00A20B08" w:rsidRDefault="00A05364" w:rsidP="00A54B4E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09" w:type="dxa"/>
          </w:tcPr>
          <w:p w14:paraId="6EB64739" w14:textId="406622F2" w:rsidR="00A54B4E" w:rsidRPr="00A20B08" w:rsidRDefault="00A54B4E" w:rsidP="00A05364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A20B08">
              <w:rPr>
                <w:color w:val="000000"/>
                <w:sz w:val="26"/>
                <w:szCs w:val="26"/>
                <w:lang w:eastAsia="en-US"/>
              </w:rPr>
              <w:lastRenderedPageBreak/>
              <w:t xml:space="preserve">Розширення інформованості населення щодо профілактики захворювань, спричинених </w:t>
            </w:r>
            <w:proofErr w:type="spellStart"/>
            <w:r w:rsidRPr="00A20B08">
              <w:rPr>
                <w:color w:val="000000"/>
                <w:sz w:val="26"/>
                <w:szCs w:val="26"/>
                <w:lang w:eastAsia="en-US"/>
              </w:rPr>
              <w:t>йододефіцитом</w:t>
            </w:r>
            <w:proofErr w:type="spellEnd"/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шляхом проведення одного  заходу щокварталу в одній територіальній громаді</w:t>
            </w:r>
          </w:p>
        </w:tc>
        <w:tc>
          <w:tcPr>
            <w:tcW w:w="1605" w:type="dxa"/>
          </w:tcPr>
          <w:p w14:paraId="61D7475F" w14:textId="77777777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4B4E" w:rsidRPr="00A20B08" w14:paraId="5A16E820" w14:textId="77777777" w:rsidTr="00A20B08">
        <w:tc>
          <w:tcPr>
            <w:tcW w:w="736" w:type="dxa"/>
          </w:tcPr>
          <w:p w14:paraId="6E91B122" w14:textId="0728B886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4.4.</w:t>
            </w:r>
          </w:p>
        </w:tc>
        <w:tc>
          <w:tcPr>
            <w:tcW w:w="3928" w:type="dxa"/>
          </w:tcPr>
          <w:p w14:paraId="66455332" w14:textId="138455DC" w:rsidR="00A54B4E" w:rsidRPr="00A20B08" w:rsidRDefault="00A54B4E" w:rsidP="00A54B4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Організувати проведення інформаційної кампанії для населення щодо наявності в торгівельній мережі йодованої кухонної солі та переліку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йодовмісних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продуктів харчування</w:t>
            </w:r>
            <w:r w:rsidR="003B2C6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0C958A19" w14:textId="41DFD5F5" w:rsidR="00A54B4E" w:rsidRPr="00A20B08" w:rsidRDefault="00A54B4E" w:rsidP="003B2C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431FF8F6" w14:textId="69D014EE" w:rsidR="00A54B4E" w:rsidRPr="00A20B08" w:rsidRDefault="00A54B4E" w:rsidP="003B2C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України»,</w:t>
            </w:r>
          </w:p>
          <w:p w14:paraId="3C9ED0DB" w14:textId="77777777" w:rsidR="00A54B4E" w:rsidRPr="00A20B08" w:rsidRDefault="00A54B4E" w:rsidP="003B2C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Керівники підприємств гуртової та  роздрібної торгівлі області</w:t>
            </w:r>
          </w:p>
          <w:p w14:paraId="5FDF87E5" w14:textId="77777777" w:rsidR="00A54B4E" w:rsidRPr="00A20B08" w:rsidRDefault="00A54B4E" w:rsidP="00A54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1D6D397B" w14:textId="33BF3315" w:rsidR="00A54B4E" w:rsidRPr="00A20B08" w:rsidRDefault="00A54B4E" w:rsidP="003B2C60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Розширення інформованості населення щодо профілактики захворювань, спричинених </w:t>
            </w:r>
            <w:proofErr w:type="spellStart"/>
            <w:r w:rsidRPr="00A20B08">
              <w:rPr>
                <w:color w:val="000000"/>
                <w:sz w:val="26"/>
                <w:szCs w:val="26"/>
                <w:lang w:eastAsia="en-US"/>
              </w:rPr>
              <w:t>йододефіцитом</w:t>
            </w:r>
            <w:proofErr w:type="spellEnd"/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шляхом проведення 2 заходів щороку у </w:t>
            </w:r>
            <w:r w:rsidRPr="00A20B08">
              <w:rPr>
                <w:sz w:val="26"/>
                <w:szCs w:val="26"/>
              </w:rPr>
              <w:t>торгівельній мережі</w:t>
            </w:r>
          </w:p>
        </w:tc>
        <w:tc>
          <w:tcPr>
            <w:tcW w:w="1605" w:type="dxa"/>
          </w:tcPr>
          <w:p w14:paraId="0242DCA2" w14:textId="77777777" w:rsidR="00A54B4E" w:rsidRPr="00A20B08" w:rsidRDefault="00A54B4E" w:rsidP="00A54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22512" w:rsidRPr="00A20B08" w14:paraId="00AC0C3D" w14:textId="77777777" w:rsidTr="00A20B08">
        <w:tc>
          <w:tcPr>
            <w:tcW w:w="736" w:type="dxa"/>
          </w:tcPr>
          <w:p w14:paraId="44B1F6B0" w14:textId="63C48857" w:rsidR="00D22512" w:rsidRPr="00A20B08" w:rsidRDefault="00D22512" w:rsidP="00D2251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4.5.</w:t>
            </w:r>
          </w:p>
        </w:tc>
        <w:tc>
          <w:tcPr>
            <w:tcW w:w="3928" w:type="dxa"/>
          </w:tcPr>
          <w:p w14:paraId="06FB26CB" w14:textId="09E4CF6A" w:rsidR="00D22512" w:rsidRDefault="00D22512" w:rsidP="00D2251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Надавати рекомендації суб’єктам господарювання, зокрема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торго</w:t>
            </w:r>
            <w:r w:rsidR="004B28EB">
              <w:rPr>
                <w:rFonts w:ascii="Times New Roman" w:hAnsi="Times New Roman"/>
                <w:sz w:val="26"/>
                <w:szCs w:val="26"/>
              </w:rPr>
              <w:t>-</w:t>
            </w:r>
            <w:r w:rsidR="004B28EB" w:rsidRPr="0086670A">
              <w:rPr>
                <w:rFonts w:ascii="Times New Roman" w:hAnsi="Times New Roman"/>
                <w:sz w:val="26"/>
                <w:szCs w:val="26"/>
              </w:rPr>
              <w:t>вельним</w:t>
            </w:r>
            <w:proofErr w:type="spellEnd"/>
            <w:r w:rsidR="004B28EB" w:rsidRPr="0086670A">
              <w:rPr>
                <w:rFonts w:ascii="Times New Roman" w:hAnsi="Times New Roman"/>
                <w:sz w:val="26"/>
                <w:szCs w:val="26"/>
              </w:rPr>
              <w:t xml:space="preserve"> мережам, щодо популяри</w:t>
            </w:r>
            <w:r w:rsidRPr="0086670A">
              <w:rPr>
                <w:rFonts w:ascii="Times New Roman" w:hAnsi="Times New Roman"/>
                <w:sz w:val="26"/>
                <w:szCs w:val="26"/>
              </w:rPr>
              <w:t>зації продуктів, збагачених йодом,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у тому числі шляхом маркування або розміщення в торгових залах інформаційних логотипів із позначками «Містить йод» для інформування та заохочення споживачів до здорового вибору</w:t>
            </w:r>
            <w:r w:rsidR="00A74F7B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A519D8B" w14:textId="3C9DA621" w:rsidR="00A74F7B" w:rsidRPr="00A20B08" w:rsidRDefault="00A74F7B" w:rsidP="00D2251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711" w:type="dxa"/>
          </w:tcPr>
          <w:p w14:paraId="2815D502" w14:textId="7A9D23DD" w:rsidR="00D22512" w:rsidRPr="00A20B08" w:rsidRDefault="00D22512" w:rsidP="00A74F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68997CC6" w14:textId="0FFC14CF" w:rsidR="00D22512" w:rsidRPr="00A20B08" w:rsidRDefault="00D22512" w:rsidP="00A74F7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</w:t>
            </w:r>
            <w:r w:rsidR="00A74F7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09" w:type="dxa"/>
          </w:tcPr>
          <w:p w14:paraId="6354A9F8" w14:textId="3977A38E" w:rsidR="00D22512" w:rsidRPr="00A20B08" w:rsidRDefault="00D22512" w:rsidP="00A74F7B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Розширення інформованості населення щодо профілактики захворювань, спричинених </w:t>
            </w:r>
            <w:proofErr w:type="spellStart"/>
            <w:r w:rsidRPr="00A20B08">
              <w:rPr>
                <w:color w:val="000000"/>
                <w:sz w:val="26"/>
                <w:szCs w:val="26"/>
                <w:lang w:eastAsia="en-US"/>
              </w:rPr>
              <w:t>йододефіцитом</w:t>
            </w:r>
            <w:proofErr w:type="spellEnd"/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шляхом проведення 2 заходів щороку у </w:t>
            </w:r>
            <w:r w:rsidRPr="00A20B08">
              <w:rPr>
                <w:sz w:val="26"/>
                <w:szCs w:val="26"/>
              </w:rPr>
              <w:t>торгівельній мережі</w:t>
            </w:r>
          </w:p>
        </w:tc>
        <w:tc>
          <w:tcPr>
            <w:tcW w:w="1605" w:type="dxa"/>
          </w:tcPr>
          <w:p w14:paraId="42097A77" w14:textId="77777777" w:rsidR="00D22512" w:rsidRPr="00A20B08" w:rsidRDefault="00D22512" w:rsidP="00D2251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22512" w:rsidRPr="00A20B08" w14:paraId="67129C74" w14:textId="77777777" w:rsidTr="00A20B08">
        <w:tc>
          <w:tcPr>
            <w:tcW w:w="736" w:type="dxa"/>
          </w:tcPr>
          <w:p w14:paraId="67F42D27" w14:textId="05AF6706" w:rsidR="00D22512" w:rsidRPr="00A20B08" w:rsidRDefault="00D22512" w:rsidP="00D2251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4.6.</w:t>
            </w:r>
          </w:p>
        </w:tc>
        <w:tc>
          <w:tcPr>
            <w:tcW w:w="3928" w:type="dxa"/>
          </w:tcPr>
          <w:p w14:paraId="1D753292" w14:textId="0E3E6589" w:rsidR="00D22512" w:rsidRPr="00A20B08" w:rsidRDefault="004C262B" w:rsidP="00D2251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Забезпечити </w:t>
            </w:r>
            <w:r w:rsidR="004D5FDD" w:rsidRPr="00A20B08">
              <w:rPr>
                <w:rFonts w:ascii="Times New Roman" w:hAnsi="Times New Roman"/>
                <w:sz w:val="26"/>
                <w:szCs w:val="26"/>
              </w:rPr>
              <w:t xml:space="preserve">маркування або розміщення в торгових залах інформаційних логотипів із </w:t>
            </w:r>
            <w:r w:rsidR="004D5FDD"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позначками «Містить йод» для популяризації продуктів, збагачених йодом</w:t>
            </w:r>
            <w:r w:rsidR="00A74F7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3421D91E" w14:textId="3E6FFCAE" w:rsidR="00D22512" w:rsidRPr="00A20B08" w:rsidRDefault="00D22512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2026 - 2030 роки</w:t>
            </w:r>
          </w:p>
        </w:tc>
        <w:tc>
          <w:tcPr>
            <w:tcW w:w="4799" w:type="dxa"/>
          </w:tcPr>
          <w:p w14:paraId="119311B8" w14:textId="108B9CC0" w:rsidR="00D22512" w:rsidRPr="00A20B08" w:rsidRDefault="004D5FDD" w:rsidP="00A74F7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Керівники закладів торгівлі </w:t>
            </w:r>
          </w:p>
        </w:tc>
        <w:tc>
          <w:tcPr>
            <w:tcW w:w="2809" w:type="dxa"/>
          </w:tcPr>
          <w:p w14:paraId="521B6DB3" w14:textId="57091A96" w:rsidR="00D22512" w:rsidRPr="00A20B08" w:rsidRDefault="00D22512" w:rsidP="00B368FD">
            <w:pPr>
              <w:pStyle w:val="docdata"/>
              <w:spacing w:before="0" w:beforeAutospacing="0" w:after="200" w:afterAutospacing="0"/>
              <w:jc w:val="both"/>
              <w:rPr>
                <w:color w:val="000000"/>
                <w:sz w:val="26"/>
                <w:szCs w:val="26"/>
                <w:highlight w:val="yellow"/>
                <w:lang w:eastAsia="en-US"/>
              </w:rPr>
            </w:pPr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Розширення інформованості населення щодо </w:t>
            </w:r>
            <w:r w:rsidRPr="00A20B08">
              <w:rPr>
                <w:color w:val="000000"/>
                <w:sz w:val="26"/>
                <w:szCs w:val="26"/>
                <w:lang w:eastAsia="en-US"/>
              </w:rPr>
              <w:lastRenderedPageBreak/>
              <w:t xml:space="preserve">профілактики захворювань, спричинених </w:t>
            </w:r>
            <w:proofErr w:type="spellStart"/>
            <w:r w:rsidRPr="00A20B08">
              <w:rPr>
                <w:color w:val="000000"/>
                <w:sz w:val="26"/>
                <w:szCs w:val="26"/>
                <w:lang w:eastAsia="en-US"/>
              </w:rPr>
              <w:t>йододефіцитом</w:t>
            </w:r>
            <w:proofErr w:type="spellEnd"/>
            <w:r w:rsidRPr="00A20B08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605" w:type="dxa"/>
          </w:tcPr>
          <w:p w14:paraId="014C4C2A" w14:textId="77777777" w:rsidR="00D22512" w:rsidRPr="00A20B08" w:rsidRDefault="00D22512" w:rsidP="00D2251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6377203E" w14:textId="77777777" w:rsidTr="00A20B08">
        <w:trPr>
          <w:trHeight w:val="561"/>
        </w:trPr>
        <w:tc>
          <w:tcPr>
            <w:tcW w:w="736" w:type="dxa"/>
          </w:tcPr>
          <w:p w14:paraId="4A836E5B" w14:textId="27F039B2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4.7.</w:t>
            </w:r>
          </w:p>
        </w:tc>
        <w:tc>
          <w:tcPr>
            <w:tcW w:w="3928" w:type="dxa"/>
          </w:tcPr>
          <w:p w14:paraId="0524043F" w14:textId="77777777" w:rsidR="004C262B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Забезпечити систематичне інформування учасників освітнього процесу про важливість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шляхом поширення науково обґрунтованих і доступних освітніх матеріалів щодо споживання продуктів харчування, збагачених йодом (зокрема йодованої солі, морської риби, молочних продуктів тощо)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F2D6C28" w14:textId="3CB19EC0" w:rsidR="00B368FD" w:rsidRPr="00A20B08" w:rsidRDefault="00B368FD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7C9AFEDD" w14:textId="19B02A9B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576FC3B0" w14:textId="069EE469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Департамент освіти і науки облдержадміністрації,</w:t>
            </w:r>
          </w:p>
          <w:p w14:paraId="269393EE" w14:textId="791F6265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України», </w:t>
            </w:r>
          </w:p>
          <w:p w14:paraId="385107F2" w14:textId="53AECD04" w:rsidR="004C262B" w:rsidRPr="00A20B08" w:rsidRDefault="00B368FD" w:rsidP="00B368F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ДНП «</w:t>
            </w:r>
            <w:r w:rsidR="004C26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Львівський національних медичний університет ім.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C26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Д.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C262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Галицького</w:t>
            </w: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4C262B" w:rsidRPr="00A20B0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01532F7" w14:textId="77777777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6130574C" w14:textId="6B32EF2D" w:rsidR="004C262B" w:rsidRPr="00A20B08" w:rsidRDefault="004C262B" w:rsidP="004C26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1691F7EC" w14:textId="4814E4F4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Розширення інформованості населення щодо профілактики захворювань зумовлених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шляхом проведення заходів у 5 закладах освіти щороку</w:t>
            </w:r>
          </w:p>
        </w:tc>
        <w:tc>
          <w:tcPr>
            <w:tcW w:w="1605" w:type="dxa"/>
          </w:tcPr>
          <w:p w14:paraId="78E0CF21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2DF48883" w14:textId="77777777" w:rsidTr="00A20B08">
        <w:trPr>
          <w:trHeight w:val="548"/>
        </w:trPr>
        <w:tc>
          <w:tcPr>
            <w:tcW w:w="736" w:type="dxa"/>
          </w:tcPr>
          <w:p w14:paraId="79588ADA" w14:textId="6F3D56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4.8.</w:t>
            </w:r>
          </w:p>
        </w:tc>
        <w:tc>
          <w:tcPr>
            <w:tcW w:w="3928" w:type="dxa"/>
          </w:tcPr>
          <w:p w14:paraId="54D3B712" w14:textId="11EE0F20" w:rsidR="004C262B" w:rsidRPr="00A20B08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Рекомендувати включення теми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до програм з основ здоров’я, біології, валеології та заходів з формування здорового способу життя в закладах освіти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592305E1" w14:textId="0188D2E0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2FA5687F" w14:textId="790E8D33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Департамент освіти і науки облдержадміністрації</w:t>
            </w:r>
          </w:p>
        </w:tc>
        <w:tc>
          <w:tcPr>
            <w:tcW w:w="2809" w:type="dxa"/>
          </w:tcPr>
          <w:p w14:paraId="77A6AF38" w14:textId="3E4BD5B7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Включення теми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до програм з основ здоров’я, біології, валеології та заходів з формування здорового способу життя в 5 закладах освіти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щороку</w:t>
            </w:r>
          </w:p>
        </w:tc>
        <w:tc>
          <w:tcPr>
            <w:tcW w:w="1605" w:type="dxa"/>
          </w:tcPr>
          <w:p w14:paraId="509CE470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6FBBD9E3" w14:textId="77777777" w:rsidTr="00A20B08">
        <w:trPr>
          <w:trHeight w:val="2024"/>
        </w:trPr>
        <w:tc>
          <w:tcPr>
            <w:tcW w:w="736" w:type="dxa"/>
          </w:tcPr>
          <w:p w14:paraId="59BA84A7" w14:textId="468D0A99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4.9.</w:t>
            </w:r>
          </w:p>
        </w:tc>
        <w:tc>
          <w:tcPr>
            <w:tcW w:w="3928" w:type="dxa"/>
          </w:tcPr>
          <w:p w14:paraId="637FEE81" w14:textId="74C6E68F" w:rsidR="004C262B" w:rsidRPr="00A20B08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Організовувати періодичне опитування (анкетування) серед учасників освітнього процесу та батьків здобувачів освіти з метою оцінки рівня обізнаності про добову потребу в йоді для різних вікових груп дітей, основні джерела йоду в харчуванні та наслідки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для здоров’я дітей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3DEDC406" w14:textId="2B1AAA11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2F051A03" w14:textId="4FECFCE3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</w:t>
            </w:r>
            <w:r w:rsidR="00B368F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14:paraId="6585E901" w14:textId="7BCD41FC" w:rsidR="004C262B" w:rsidRPr="00A20B08" w:rsidRDefault="004C262B" w:rsidP="004C26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2995F681" w14:textId="77777777" w:rsidR="004C262B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Провести оцінку обізнаності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серед учасників освітнього процесу та батьків здобувачів освіти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щодо профілактики захворювань зумовлених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 5 закладах освіти щороку</w:t>
            </w:r>
          </w:p>
          <w:p w14:paraId="5D48A87F" w14:textId="51AE5F97" w:rsidR="00B368FD" w:rsidRPr="00A20B08" w:rsidRDefault="00B368FD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05" w:type="dxa"/>
          </w:tcPr>
          <w:p w14:paraId="477507DF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6F359B64" w14:textId="77777777" w:rsidTr="00A20B08">
        <w:trPr>
          <w:trHeight w:val="2024"/>
        </w:trPr>
        <w:tc>
          <w:tcPr>
            <w:tcW w:w="736" w:type="dxa"/>
          </w:tcPr>
          <w:p w14:paraId="57974151" w14:textId="2A0D7F83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4.10.</w:t>
            </w:r>
          </w:p>
        </w:tc>
        <w:tc>
          <w:tcPr>
            <w:tcW w:w="3928" w:type="dxa"/>
          </w:tcPr>
          <w:p w14:paraId="60B1A521" w14:textId="791E73BF" w:rsidR="004C262B" w:rsidRPr="00A20B08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Сприяти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міжсекторальній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взаємодії для впровадження профілактичних заходів щодо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(інформування, скринінг ризиків, консультації для батьків тощо)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11" w:type="dxa"/>
          </w:tcPr>
          <w:p w14:paraId="1A18C1A0" w14:textId="7602288A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1FDBB72C" w14:textId="4135DCFC" w:rsidR="004C262B" w:rsidRPr="0086670A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sz w:val="26"/>
                <w:szCs w:val="26"/>
              </w:rPr>
              <w:t>Департамент освіти і науки облдержадміністрації,</w:t>
            </w:r>
          </w:p>
          <w:p w14:paraId="0B9674BA" w14:textId="77777777" w:rsidR="004C262B" w:rsidRPr="0086670A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sz w:val="26"/>
                <w:szCs w:val="26"/>
              </w:rPr>
              <w:t xml:space="preserve">Департамент соціального захисту населення облдержадміністрації, </w:t>
            </w:r>
          </w:p>
          <w:p w14:paraId="51ADC080" w14:textId="77777777" w:rsidR="004C262B" w:rsidRPr="0086670A" w:rsidRDefault="004C262B" w:rsidP="00B368FD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sz w:val="26"/>
                <w:szCs w:val="26"/>
              </w:rPr>
              <w:t xml:space="preserve">Департамент охорони здоров’я </w:t>
            </w:r>
            <w:r w:rsidRPr="0086670A"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облдержадміністрації, </w:t>
            </w:r>
          </w:p>
          <w:p w14:paraId="7274450C" w14:textId="4479C4CA" w:rsidR="004C262B" w:rsidRPr="0086670A" w:rsidRDefault="004C262B" w:rsidP="00B368FD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86670A"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  <w:t>Заклади охорони здоров'я,</w:t>
            </w:r>
          </w:p>
          <w:p w14:paraId="7189C163" w14:textId="1EB6D343" w:rsidR="004C262B" w:rsidRPr="0086670A" w:rsidRDefault="004C262B" w:rsidP="00B368F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Л</w:t>
            </w:r>
            <w:r w:rsidR="00B368FD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ДНП «Л</w:t>
            </w: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ьвівський національних медичний університет ім.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Д.</w:t>
            </w:r>
            <w:r w:rsidR="004B28EB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Галицького</w:t>
            </w:r>
            <w:r w:rsidR="00B368FD" w:rsidRPr="0086670A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  <w:p w14:paraId="09662CB1" w14:textId="77777777" w:rsidR="004C262B" w:rsidRPr="0086670A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86670A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86670A">
              <w:rPr>
                <w:rFonts w:ascii="Times New Roman" w:hAnsi="Times New Roman"/>
                <w:sz w:val="26"/>
                <w:szCs w:val="26"/>
              </w:rPr>
              <w:t xml:space="preserve"> МОЗ України» (за згодою)</w:t>
            </w:r>
          </w:p>
          <w:p w14:paraId="42C8DA69" w14:textId="204B7221" w:rsidR="00B368FD" w:rsidRPr="0086670A" w:rsidRDefault="00B368FD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2E6FCC55" w14:textId="1D40A9F8" w:rsidR="004C262B" w:rsidRPr="0086670A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667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Проведення заходів щодо профілактики захворювань, зумовлених </w:t>
            </w:r>
            <w:proofErr w:type="spellStart"/>
            <w:r w:rsidRPr="0086670A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  <w:r w:rsidRPr="008667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Pr="0086670A">
              <w:rPr>
                <w:rFonts w:ascii="Times New Roman" w:hAnsi="Times New Roman"/>
                <w:sz w:val="26"/>
                <w:szCs w:val="26"/>
              </w:rPr>
              <w:t xml:space="preserve">в 5 закладах </w:t>
            </w:r>
            <w:r w:rsidRPr="0086670A">
              <w:rPr>
                <w:rStyle w:val="af0"/>
                <w:rFonts w:ascii="Times New Roman" w:hAnsi="Times New Roman"/>
                <w:b w:val="0"/>
                <w:bCs w:val="0"/>
                <w:sz w:val="26"/>
                <w:szCs w:val="26"/>
              </w:rPr>
              <w:t>охорони здоров'я</w:t>
            </w:r>
            <w:r w:rsidRPr="008667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щороку</w:t>
            </w:r>
          </w:p>
        </w:tc>
        <w:tc>
          <w:tcPr>
            <w:tcW w:w="1605" w:type="dxa"/>
          </w:tcPr>
          <w:p w14:paraId="11FE98B9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0FE16D88" w14:textId="77777777" w:rsidTr="00A20B08">
        <w:trPr>
          <w:trHeight w:val="2024"/>
        </w:trPr>
        <w:tc>
          <w:tcPr>
            <w:tcW w:w="736" w:type="dxa"/>
          </w:tcPr>
          <w:p w14:paraId="5B685010" w14:textId="14B97913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4.1</w:t>
            </w:r>
            <w:r w:rsidR="00440777" w:rsidRPr="00A20B08">
              <w:rPr>
                <w:rFonts w:ascii="Times New Roman" w:hAnsi="Times New Roman"/>
                <w:sz w:val="26"/>
                <w:szCs w:val="26"/>
              </w:rPr>
              <w:t>1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928" w:type="dxa"/>
          </w:tcPr>
          <w:p w14:paraId="2AB54D83" w14:textId="77777777" w:rsidR="004C262B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Здійснювати аналіз статистичних даних щодо захворюваності, пов’язаної з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йододефіцитом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>, а також даних лабораторних досліджень за якістю води, з метою оцінки ступеня ризику та підготовки аналітичних висновків для органів виконавчої влади і місцевого самоврядування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4BD45605" w14:textId="60013E06" w:rsidR="00B368FD" w:rsidRPr="00A20B08" w:rsidRDefault="00B368FD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2BF4E059" w14:textId="214CA5F0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00BFB8C1" w14:textId="77777777" w:rsidR="004C262B" w:rsidRPr="00A20B08" w:rsidRDefault="004C262B" w:rsidP="00B368F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 w:eastAsia="ar-SA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КНП ЛОР «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Львівський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обласний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інформаційно-аналітичний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центр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медичної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статистики», </w:t>
            </w:r>
          </w:p>
          <w:p w14:paraId="6C4F8AB3" w14:textId="2DCD2EB1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 </w:t>
            </w:r>
          </w:p>
        </w:tc>
        <w:tc>
          <w:tcPr>
            <w:tcW w:w="2809" w:type="dxa"/>
          </w:tcPr>
          <w:p w14:paraId="4288E319" w14:textId="2A280859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Оцінка стану захворюваності та ризику виникнення захворювань, зумовлених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</w:p>
        </w:tc>
        <w:tc>
          <w:tcPr>
            <w:tcW w:w="1605" w:type="dxa"/>
          </w:tcPr>
          <w:p w14:paraId="187D097B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647C440E" w14:textId="77777777" w:rsidTr="00A20B08">
        <w:trPr>
          <w:trHeight w:val="2024"/>
        </w:trPr>
        <w:tc>
          <w:tcPr>
            <w:tcW w:w="736" w:type="dxa"/>
          </w:tcPr>
          <w:p w14:paraId="47F7B53C" w14:textId="38EBB582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4.1</w:t>
            </w:r>
            <w:r w:rsidR="00440777" w:rsidRPr="00A20B08">
              <w:rPr>
                <w:rFonts w:ascii="Times New Roman" w:hAnsi="Times New Roman"/>
                <w:sz w:val="26"/>
                <w:szCs w:val="26"/>
              </w:rPr>
              <w:t>2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928" w:type="dxa"/>
          </w:tcPr>
          <w:p w14:paraId="74E67D56" w14:textId="77777777" w:rsidR="004C262B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Розробляти та впроваджувати інформаційно-просвітницькі кампанії, спрямовані на формування у населення розуміння важливості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йододефіциту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та споживання йодованих продуктів (зокрема, йодованої солі, морської риби, молочних продуктів тощо). Використовувати для цього сучасні комунікаційні платформи, соціальні мережі та партнерства з громадами</w:t>
            </w:r>
            <w:r w:rsidR="00B368F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4F08A1B" w14:textId="12D79E74" w:rsidR="00B368FD" w:rsidRPr="00A20B08" w:rsidRDefault="00B368FD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1AEECFFA" w14:textId="5904265D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2026 - 2030 роки</w:t>
            </w:r>
          </w:p>
        </w:tc>
        <w:tc>
          <w:tcPr>
            <w:tcW w:w="4799" w:type="dxa"/>
          </w:tcPr>
          <w:p w14:paraId="3AB00F01" w14:textId="4D6B6390" w:rsidR="004C262B" w:rsidRPr="00A20B08" w:rsidRDefault="004C262B" w:rsidP="008667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України»,</w:t>
            </w:r>
          </w:p>
          <w:p w14:paraId="232A7DB4" w14:textId="30252647" w:rsidR="004C262B" w:rsidRPr="00A20B08" w:rsidRDefault="004C262B" w:rsidP="004C262B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20B08">
              <w:rPr>
                <w:rFonts w:ascii="Times New Roman" w:hAnsi="Times New Roman"/>
                <w:sz w:val="26"/>
                <w:szCs w:val="26"/>
                <w:lang w:eastAsia="ru-RU"/>
              </w:rPr>
              <w:t>Департамент комунікації та внутрішньої політики</w:t>
            </w:r>
          </w:p>
          <w:p w14:paraId="56AD7D11" w14:textId="2005600D" w:rsidR="004C262B" w:rsidRPr="00A20B08" w:rsidRDefault="004C262B" w:rsidP="004C26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9" w:type="dxa"/>
          </w:tcPr>
          <w:p w14:paraId="58A3C772" w14:textId="19599FFD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Розширення інформованості населення щодо профілактики захворювань зумовлених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</w:p>
        </w:tc>
        <w:tc>
          <w:tcPr>
            <w:tcW w:w="1605" w:type="dxa"/>
          </w:tcPr>
          <w:p w14:paraId="1E274B30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262B" w:rsidRPr="00A20B08" w14:paraId="36140264" w14:textId="77777777" w:rsidTr="00A20B08">
        <w:trPr>
          <w:trHeight w:val="699"/>
        </w:trPr>
        <w:tc>
          <w:tcPr>
            <w:tcW w:w="736" w:type="dxa"/>
          </w:tcPr>
          <w:p w14:paraId="1F791D9D" w14:textId="04718C9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>4.1</w:t>
            </w:r>
            <w:r w:rsidR="00440777" w:rsidRPr="00A20B08">
              <w:rPr>
                <w:rFonts w:ascii="Times New Roman" w:hAnsi="Times New Roman"/>
                <w:sz w:val="26"/>
                <w:szCs w:val="26"/>
              </w:rPr>
              <w:t>3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928" w:type="dxa"/>
          </w:tcPr>
          <w:p w14:paraId="01D774C4" w14:textId="77777777" w:rsidR="004C262B" w:rsidRDefault="004C262B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Проводити опитування через соцмережі,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месенджери</w:t>
            </w:r>
            <w:r w:rsidRPr="00A20B08">
              <w:rPr>
                <w:rFonts w:ascii="Times New Roman" w:hAnsi="Times New Roman"/>
                <w:sz w:val="26"/>
                <w:szCs w:val="26"/>
              </w:rPr>
              <w:t xml:space="preserve"> серед дорослого населення щодо рівня обізнаності про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йододефіцит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, його наслідки та методи </w:t>
            </w: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профілактики. Результати моніторингу використовувати для коригування комунікаційної стратегії</w:t>
            </w:r>
          </w:p>
          <w:p w14:paraId="0471E1DC" w14:textId="2BD768AD" w:rsidR="00B368FD" w:rsidRPr="00A20B08" w:rsidRDefault="00B368FD" w:rsidP="004C26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14:paraId="1FF275E3" w14:textId="1171C520" w:rsidR="004C262B" w:rsidRPr="00A20B08" w:rsidRDefault="004C262B" w:rsidP="00B368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lastRenderedPageBreak/>
              <w:t>2026 - 2030 роки</w:t>
            </w:r>
          </w:p>
        </w:tc>
        <w:tc>
          <w:tcPr>
            <w:tcW w:w="4799" w:type="dxa"/>
          </w:tcPr>
          <w:p w14:paraId="33A14B73" w14:textId="2474BECC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sz w:val="26"/>
                <w:szCs w:val="26"/>
              </w:rPr>
              <w:t xml:space="preserve">ДУ «Львівський обласний центр контролю та профілактики </w:t>
            </w:r>
            <w:proofErr w:type="spellStart"/>
            <w:r w:rsidRPr="00A20B08">
              <w:rPr>
                <w:rFonts w:ascii="Times New Roman" w:hAnsi="Times New Roman"/>
                <w:sz w:val="26"/>
                <w:szCs w:val="26"/>
              </w:rPr>
              <w:t>хвороб</w:t>
            </w:r>
            <w:proofErr w:type="spellEnd"/>
            <w:r w:rsidRPr="00A20B08">
              <w:rPr>
                <w:rFonts w:ascii="Times New Roman" w:hAnsi="Times New Roman"/>
                <w:sz w:val="26"/>
                <w:szCs w:val="26"/>
              </w:rPr>
              <w:t xml:space="preserve"> МОЗ України»</w:t>
            </w:r>
          </w:p>
        </w:tc>
        <w:tc>
          <w:tcPr>
            <w:tcW w:w="2809" w:type="dxa"/>
          </w:tcPr>
          <w:p w14:paraId="4DD84747" w14:textId="3848A3CB" w:rsidR="004C262B" w:rsidRPr="00A20B08" w:rsidRDefault="004C262B" w:rsidP="00B36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Проведення щороку  оцінки обізнаності населення щодо профілактики захворювань </w:t>
            </w:r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зумовлених </w:t>
            </w:r>
            <w:proofErr w:type="spellStart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>йододефіцитом</w:t>
            </w:r>
            <w:proofErr w:type="spellEnd"/>
            <w:r w:rsidRPr="00A20B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соцмережах, месенджерах</w:t>
            </w:r>
          </w:p>
        </w:tc>
        <w:tc>
          <w:tcPr>
            <w:tcW w:w="1605" w:type="dxa"/>
          </w:tcPr>
          <w:p w14:paraId="7D335A16" w14:textId="77777777" w:rsidR="004C262B" w:rsidRPr="00A20B08" w:rsidRDefault="004C262B" w:rsidP="004C26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E1A3971" w14:textId="77777777" w:rsidR="009D1BAE" w:rsidRPr="00A20B08" w:rsidRDefault="009D1BAE" w:rsidP="00611BC3">
      <w:pPr>
        <w:pStyle w:val="ab"/>
        <w:rPr>
          <w:rFonts w:ascii="Times New Roman" w:hAnsi="Times New Roman"/>
          <w:sz w:val="26"/>
          <w:szCs w:val="26"/>
          <w:lang w:val="uk-UA"/>
        </w:rPr>
      </w:pPr>
    </w:p>
    <w:p w14:paraId="2067BA69" w14:textId="03ADB0F4" w:rsidR="00B368FD" w:rsidRDefault="00B368FD" w:rsidP="00B3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</w:p>
    <w:p w14:paraId="396A335E" w14:textId="77777777" w:rsidR="00B368FD" w:rsidRPr="00FA007A" w:rsidRDefault="00B368FD" w:rsidP="00B3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6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</w:p>
    <w:p w14:paraId="4667230A" w14:textId="77777777" w:rsidR="00B368FD" w:rsidRPr="00930E26" w:rsidRDefault="00B368FD" w:rsidP="00B368FD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Т.в.о</w:t>
      </w:r>
      <w:proofErr w:type="spellEnd"/>
      <w:r>
        <w:rPr>
          <w:rFonts w:ascii="Times New Roman" w:hAnsi="Times New Roman"/>
          <w:b/>
          <w:sz w:val="28"/>
          <w:szCs w:val="28"/>
        </w:rPr>
        <w:t>. д</w:t>
      </w:r>
      <w:r w:rsidRPr="00930E26">
        <w:rPr>
          <w:rFonts w:ascii="Times New Roman" w:hAnsi="Times New Roman"/>
          <w:b/>
          <w:sz w:val="28"/>
          <w:szCs w:val="28"/>
        </w:rPr>
        <w:t>иректор</w:t>
      </w:r>
      <w:r>
        <w:rPr>
          <w:rFonts w:ascii="Times New Roman" w:hAnsi="Times New Roman"/>
          <w:b/>
          <w:sz w:val="28"/>
          <w:szCs w:val="28"/>
        </w:rPr>
        <w:t>а</w:t>
      </w:r>
      <w:r w:rsidRPr="00930E26">
        <w:rPr>
          <w:rFonts w:ascii="Times New Roman" w:hAnsi="Times New Roman"/>
          <w:b/>
          <w:sz w:val="28"/>
          <w:szCs w:val="28"/>
        </w:rPr>
        <w:t xml:space="preserve"> департаменту </w:t>
      </w:r>
      <w:proofErr w:type="spellStart"/>
      <w:r w:rsidRPr="00930E26">
        <w:rPr>
          <w:rFonts w:ascii="Times New Roman" w:hAnsi="Times New Roman"/>
          <w:b/>
          <w:sz w:val="28"/>
          <w:szCs w:val="28"/>
        </w:rPr>
        <w:t>охорони</w:t>
      </w:r>
      <w:proofErr w:type="spellEnd"/>
      <w:r w:rsidRPr="00930E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30E26">
        <w:rPr>
          <w:rFonts w:ascii="Times New Roman" w:hAnsi="Times New Roman"/>
          <w:b/>
          <w:sz w:val="28"/>
          <w:szCs w:val="28"/>
        </w:rPr>
        <w:t>здоров’я</w:t>
      </w:r>
      <w:proofErr w:type="spellEnd"/>
    </w:p>
    <w:p w14:paraId="7DB808C0" w14:textId="77777777" w:rsidR="00B368FD" w:rsidRPr="00680ADE" w:rsidRDefault="00B368FD" w:rsidP="00B368FD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30E26">
        <w:rPr>
          <w:rFonts w:ascii="Times New Roman" w:hAnsi="Times New Roman"/>
          <w:b/>
          <w:sz w:val="28"/>
          <w:szCs w:val="28"/>
        </w:rPr>
        <w:t>обласної</w:t>
      </w:r>
      <w:proofErr w:type="spellEnd"/>
      <w:r w:rsidRPr="00930E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30E26">
        <w:rPr>
          <w:rFonts w:ascii="Times New Roman" w:hAnsi="Times New Roman"/>
          <w:b/>
          <w:sz w:val="28"/>
          <w:szCs w:val="28"/>
        </w:rPr>
        <w:t>державної</w:t>
      </w:r>
      <w:proofErr w:type="spellEnd"/>
      <w:r w:rsidRPr="00930E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30E26">
        <w:rPr>
          <w:rFonts w:ascii="Times New Roman" w:hAnsi="Times New Roman"/>
          <w:b/>
          <w:sz w:val="28"/>
          <w:szCs w:val="28"/>
        </w:rPr>
        <w:t>адміністрації</w:t>
      </w:r>
      <w:proofErr w:type="spellEnd"/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930E26">
        <w:rPr>
          <w:rFonts w:ascii="Times New Roman" w:hAnsi="Times New Roman"/>
          <w:b/>
          <w:sz w:val="28"/>
          <w:szCs w:val="28"/>
        </w:rPr>
        <w:tab/>
      </w:r>
      <w:r w:rsidRPr="00930E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30E2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930E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Вікторія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МОЙСЕЙ</w:t>
      </w:r>
    </w:p>
    <w:p w14:paraId="1F1A6949" w14:textId="403170EA" w:rsidR="009D1BAE" w:rsidRDefault="009D1BAE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3C599CC" w14:textId="0EAA0A51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C5A8BC9" w14:textId="28B16700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8C941B1" w14:textId="1BEA0336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B89F545" w14:textId="76936348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F54ADE1" w14:textId="3E9F59CB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2449E69" w14:textId="1D7DD792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FC3C312" w14:textId="141F81E0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7C63D6D" w14:textId="2B2F4A47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0414ACD" w14:textId="73DF7F79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2A3F77" w14:textId="4FD19178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5C68F3F" w14:textId="1D7237E2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1D6A454" w14:textId="626B1270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0AF506B" w14:textId="20ACEAC5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4B74F80" w14:textId="2771A35D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D94F3A9" w14:textId="6654822B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3129B6A" w14:textId="0BE10BA6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388A67C" w14:textId="3C67D251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5FC3D26" w14:textId="68C2BED5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1FDE1A" w14:textId="6B98546C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DEBB04A" w14:textId="65D6E6DD" w:rsidR="0086670A" w:rsidRDefault="0086670A" w:rsidP="00C702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1" w:name="_GoBack"/>
      <w:bookmarkEnd w:id="1"/>
    </w:p>
    <w:sectPr w:rsidR="0086670A" w:rsidSect="00D260FD">
      <w:headerReference w:type="even" r:id="rId8"/>
      <w:headerReference w:type="default" r:id="rId9"/>
      <w:pgSz w:w="16838" w:h="11906" w:orient="landscape"/>
      <w:pgMar w:top="1701" w:right="113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17471" w14:textId="77777777" w:rsidR="00BE0422" w:rsidRDefault="00BE0422" w:rsidP="00AB0FE0">
      <w:pPr>
        <w:spacing w:after="0" w:line="240" w:lineRule="auto"/>
      </w:pPr>
      <w:r>
        <w:separator/>
      </w:r>
    </w:p>
  </w:endnote>
  <w:endnote w:type="continuationSeparator" w:id="0">
    <w:p w14:paraId="7D12B24A" w14:textId="77777777" w:rsidR="00BE0422" w:rsidRDefault="00BE0422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4567F" w14:textId="77777777" w:rsidR="00BE0422" w:rsidRDefault="00BE0422" w:rsidP="00AB0FE0">
      <w:pPr>
        <w:spacing w:after="0" w:line="240" w:lineRule="auto"/>
      </w:pPr>
      <w:r>
        <w:separator/>
      </w:r>
    </w:p>
  </w:footnote>
  <w:footnote w:type="continuationSeparator" w:id="0">
    <w:p w14:paraId="05A7315F" w14:textId="77777777" w:rsidR="00BE0422" w:rsidRDefault="00BE0422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02A8C" w14:textId="77777777" w:rsidR="009D1BAE" w:rsidRDefault="005302C9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AED2169" w14:textId="77777777"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FACDB" w14:textId="3FC46275" w:rsidR="009D1BAE" w:rsidRDefault="005302C9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B28EB">
      <w:rPr>
        <w:rStyle w:val="ac"/>
        <w:noProof/>
      </w:rPr>
      <w:t>2</w:t>
    </w:r>
    <w:r>
      <w:rPr>
        <w:rStyle w:val="ac"/>
      </w:rPr>
      <w:fldChar w:fldCharType="end"/>
    </w:r>
  </w:p>
  <w:p w14:paraId="17B731F7" w14:textId="77777777" w:rsidR="009D1BAE" w:rsidRDefault="009D1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87"/>
    <w:rsid w:val="00001A3C"/>
    <w:rsid w:val="0000513A"/>
    <w:rsid w:val="00006579"/>
    <w:rsid w:val="00006B02"/>
    <w:rsid w:val="000072D0"/>
    <w:rsid w:val="00007D2B"/>
    <w:rsid w:val="000247C5"/>
    <w:rsid w:val="00027144"/>
    <w:rsid w:val="00030D90"/>
    <w:rsid w:val="00031D74"/>
    <w:rsid w:val="00036D04"/>
    <w:rsid w:val="00044093"/>
    <w:rsid w:val="00050783"/>
    <w:rsid w:val="00054599"/>
    <w:rsid w:val="00064E64"/>
    <w:rsid w:val="000664E3"/>
    <w:rsid w:val="00073126"/>
    <w:rsid w:val="00074565"/>
    <w:rsid w:val="00080DCD"/>
    <w:rsid w:val="000869BF"/>
    <w:rsid w:val="00087136"/>
    <w:rsid w:val="0009078A"/>
    <w:rsid w:val="00097BB5"/>
    <w:rsid w:val="000A3FED"/>
    <w:rsid w:val="000A5430"/>
    <w:rsid w:val="000A6936"/>
    <w:rsid w:val="000B1E1F"/>
    <w:rsid w:val="000C3385"/>
    <w:rsid w:val="000C5525"/>
    <w:rsid w:val="000D2597"/>
    <w:rsid w:val="000D3591"/>
    <w:rsid w:val="000D6E61"/>
    <w:rsid w:val="000D6FF8"/>
    <w:rsid w:val="000E21F7"/>
    <w:rsid w:val="00110352"/>
    <w:rsid w:val="00120731"/>
    <w:rsid w:val="00122BA2"/>
    <w:rsid w:val="00123FD6"/>
    <w:rsid w:val="00126477"/>
    <w:rsid w:val="00131880"/>
    <w:rsid w:val="00132FFD"/>
    <w:rsid w:val="00135ECE"/>
    <w:rsid w:val="001419C6"/>
    <w:rsid w:val="00151569"/>
    <w:rsid w:val="00151BF5"/>
    <w:rsid w:val="00155231"/>
    <w:rsid w:val="00156BD4"/>
    <w:rsid w:val="00164EC0"/>
    <w:rsid w:val="00167988"/>
    <w:rsid w:val="00177624"/>
    <w:rsid w:val="0017773B"/>
    <w:rsid w:val="00183ADB"/>
    <w:rsid w:val="00185252"/>
    <w:rsid w:val="001917B8"/>
    <w:rsid w:val="00197CD3"/>
    <w:rsid w:val="001A2502"/>
    <w:rsid w:val="001A3293"/>
    <w:rsid w:val="001A6C82"/>
    <w:rsid w:val="001C01AE"/>
    <w:rsid w:val="001C075E"/>
    <w:rsid w:val="001C2A20"/>
    <w:rsid w:val="001C7A9A"/>
    <w:rsid w:val="001D3457"/>
    <w:rsid w:val="001E56AA"/>
    <w:rsid w:val="001F5925"/>
    <w:rsid w:val="0020193C"/>
    <w:rsid w:val="0020287C"/>
    <w:rsid w:val="00221FD6"/>
    <w:rsid w:val="002313FA"/>
    <w:rsid w:val="002335CD"/>
    <w:rsid w:val="0023377A"/>
    <w:rsid w:val="00253D65"/>
    <w:rsid w:val="00254AA8"/>
    <w:rsid w:val="00256658"/>
    <w:rsid w:val="002607A7"/>
    <w:rsid w:val="002617B9"/>
    <w:rsid w:val="00262BA9"/>
    <w:rsid w:val="002723C8"/>
    <w:rsid w:val="002738C1"/>
    <w:rsid w:val="00273A03"/>
    <w:rsid w:val="00273FCD"/>
    <w:rsid w:val="00274CB5"/>
    <w:rsid w:val="00277DB7"/>
    <w:rsid w:val="00280076"/>
    <w:rsid w:val="00280229"/>
    <w:rsid w:val="00292DB8"/>
    <w:rsid w:val="00292FEA"/>
    <w:rsid w:val="002948AB"/>
    <w:rsid w:val="002A3902"/>
    <w:rsid w:val="002B0599"/>
    <w:rsid w:val="002B5661"/>
    <w:rsid w:val="002B6A3A"/>
    <w:rsid w:val="002D0AA7"/>
    <w:rsid w:val="002D3123"/>
    <w:rsid w:val="002E129F"/>
    <w:rsid w:val="002E2DCA"/>
    <w:rsid w:val="002E4143"/>
    <w:rsid w:val="002F2290"/>
    <w:rsid w:val="00300619"/>
    <w:rsid w:val="003007A4"/>
    <w:rsid w:val="003024C5"/>
    <w:rsid w:val="003059AD"/>
    <w:rsid w:val="00307C66"/>
    <w:rsid w:val="003100A5"/>
    <w:rsid w:val="0031191A"/>
    <w:rsid w:val="00311CD8"/>
    <w:rsid w:val="00313A35"/>
    <w:rsid w:val="00321089"/>
    <w:rsid w:val="0032137D"/>
    <w:rsid w:val="00331656"/>
    <w:rsid w:val="00331745"/>
    <w:rsid w:val="0034017F"/>
    <w:rsid w:val="00346268"/>
    <w:rsid w:val="00363C9E"/>
    <w:rsid w:val="00365F74"/>
    <w:rsid w:val="003662F2"/>
    <w:rsid w:val="003714DF"/>
    <w:rsid w:val="00374FD7"/>
    <w:rsid w:val="0037518E"/>
    <w:rsid w:val="00382F44"/>
    <w:rsid w:val="003A1487"/>
    <w:rsid w:val="003A2591"/>
    <w:rsid w:val="003A5132"/>
    <w:rsid w:val="003B2C60"/>
    <w:rsid w:val="003E153B"/>
    <w:rsid w:val="003E5D30"/>
    <w:rsid w:val="003F0AA9"/>
    <w:rsid w:val="003F1F15"/>
    <w:rsid w:val="003F29A7"/>
    <w:rsid w:val="004027D1"/>
    <w:rsid w:val="0040287C"/>
    <w:rsid w:val="00404A88"/>
    <w:rsid w:val="00406014"/>
    <w:rsid w:val="00410538"/>
    <w:rsid w:val="00412ED4"/>
    <w:rsid w:val="00421197"/>
    <w:rsid w:val="00434F13"/>
    <w:rsid w:val="00440088"/>
    <w:rsid w:val="00440777"/>
    <w:rsid w:val="004429E7"/>
    <w:rsid w:val="00445702"/>
    <w:rsid w:val="0045794D"/>
    <w:rsid w:val="00461E4F"/>
    <w:rsid w:val="00463230"/>
    <w:rsid w:val="00467A81"/>
    <w:rsid w:val="00473FB2"/>
    <w:rsid w:val="0047721A"/>
    <w:rsid w:val="00483B21"/>
    <w:rsid w:val="00486654"/>
    <w:rsid w:val="004930A3"/>
    <w:rsid w:val="004932B2"/>
    <w:rsid w:val="004954CB"/>
    <w:rsid w:val="004A0299"/>
    <w:rsid w:val="004A448E"/>
    <w:rsid w:val="004A6A48"/>
    <w:rsid w:val="004B28EB"/>
    <w:rsid w:val="004C262B"/>
    <w:rsid w:val="004C45EC"/>
    <w:rsid w:val="004C4E12"/>
    <w:rsid w:val="004C6214"/>
    <w:rsid w:val="004D5FDD"/>
    <w:rsid w:val="004E0C62"/>
    <w:rsid w:val="004E420B"/>
    <w:rsid w:val="004E5A78"/>
    <w:rsid w:val="004F6482"/>
    <w:rsid w:val="00503026"/>
    <w:rsid w:val="00510100"/>
    <w:rsid w:val="00511160"/>
    <w:rsid w:val="005120B8"/>
    <w:rsid w:val="00515115"/>
    <w:rsid w:val="005302C9"/>
    <w:rsid w:val="005305D9"/>
    <w:rsid w:val="00530928"/>
    <w:rsid w:val="00532332"/>
    <w:rsid w:val="005369D5"/>
    <w:rsid w:val="00536B30"/>
    <w:rsid w:val="00545979"/>
    <w:rsid w:val="00552B6C"/>
    <w:rsid w:val="00553F1C"/>
    <w:rsid w:val="005562CE"/>
    <w:rsid w:val="00564AF0"/>
    <w:rsid w:val="00575FDE"/>
    <w:rsid w:val="0057698A"/>
    <w:rsid w:val="0058169F"/>
    <w:rsid w:val="00582DEE"/>
    <w:rsid w:val="00583D34"/>
    <w:rsid w:val="00583DE1"/>
    <w:rsid w:val="00583DE3"/>
    <w:rsid w:val="005878DB"/>
    <w:rsid w:val="0059225D"/>
    <w:rsid w:val="00594AF6"/>
    <w:rsid w:val="005A3985"/>
    <w:rsid w:val="005A6C82"/>
    <w:rsid w:val="005B7C2B"/>
    <w:rsid w:val="005C0521"/>
    <w:rsid w:val="005C1E3B"/>
    <w:rsid w:val="005D1491"/>
    <w:rsid w:val="005E1ADD"/>
    <w:rsid w:val="005F5637"/>
    <w:rsid w:val="005F6504"/>
    <w:rsid w:val="00602D1A"/>
    <w:rsid w:val="00605E8B"/>
    <w:rsid w:val="00606CDA"/>
    <w:rsid w:val="00611BC3"/>
    <w:rsid w:val="006173DD"/>
    <w:rsid w:val="00617A8B"/>
    <w:rsid w:val="00620D76"/>
    <w:rsid w:val="0062638C"/>
    <w:rsid w:val="006366F9"/>
    <w:rsid w:val="006404A8"/>
    <w:rsid w:val="00645461"/>
    <w:rsid w:val="00652260"/>
    <w:rsid w:val="00653E12"/>
    <w:rsid w:val="00654B11"/>
    <w:rsid w:val="00670473"/>
    <w:rsid w:val="00675792"/>
    <w:rsid w:val="0068651F"/>
    <w:rsid w:val="0069270D"/>
    <w:rsid w:val="0069591A"/>
    <w:rsid w:val="006A076C"/>
    <w:rsid w:val="006A74E8"/>
    <w:rsid w:val="006B0276"/>
    <w:rsid w:val="006B1CBB"/>
    <w:rsid w:val="006C16A8"/>
    <w:rsid w:val="006C3FFD"/>
    <w:rsid w:val="006C40D0"/>
    <w:rsid w:val="006C498B"/>
    <w:rsid w:val="006C6EF8"/>
    <w:rsid w:val="006E19D9"/>
    <w:rsid w:val="006E2A90"/>
    <w:rsid w:val="006E5B70"/>
    <w:rsid w:val="006E6032"/>
    <w:rsid w:val="006E64AF"/>
    <w:rsid w:val="006F1817"/>
    <w:rsid w:val="006F1E25"/>
    <w:rsid w:val="006F7148"/>
    <w:rsid w:val="006F7E59"/>
    <w:rsid w:val="007040EB"/>
    <w:rsid w:val="007110A3"/>
    <w:rsid w:val="007167F3"/>
    <w:rsid w:val="00722ADC"/>
    <w:rsid w:val="00730D97"/>
    <w:rsid w:val="00731E54"/>
    <w:rsid w:val="0073308A"/>
    <w:rsid w:val="007341CA"/>
    <w:rsid w:val="00735274"/>
    <w:rsid w:val="00735A9A"/>
    <w:rsid w:val="007457BF"/>
    <w:rsid w:val="007501A0"/>
    <w:rsid w:val="007535A8"/>
    <w:rsid w:val="007549FA"/>
    <w:rsid w:val="00756515"/>
    <w:rsid w:val="00760E3E"/>
    <w:rsid w:val="00762DFD"/>
    <w:rsid w:val="007656EF"/>
    <w:rsid w:val="00766FCB"/>
    <w:rsid w:val="00773E96"/>
    <w:rsid w:val="007A0548"/>
    <w:rsid w:val="007A109E"/>
    <w:rsid w:val="007B0D6E"/>
    <w:rsid w:val="007B17FB"/>
    <w:rsid w:val="007B2ED4"/>
    <w:rsid w:val="007B6168"/>
    <w:rsid w:val="007B72EA"/>
    <w:rsid w:val="007C3E02"/>
    <w:rsid w:val="007C6899"/>
    <w:rsid w:val="007D671A"/>
    <w:rsid w:val="007E0452"/>
    <w:rsid w:val="007E15DC"/>
    <w:rsid w:val="007E3C6D"/>
    <w:rsid w:val="007E5774"/>
    <w:rsid w:val="007F6A4A"/>
    <w:rsid w:val="0080713B"/>
    <w:rsid w:val="00813886"/>
    <w:rsid w:val="008138B2"/>
    <w:rsid w:val="008215FD"/>
    <w:rsid w:val="008343AE"/>
    <w:rsid w:val="00835958"/>
    <w:rsid w:val="008448D0"/>
    <w:rsid w:val="00845728"/>
    <w:rsid w:val="008500E6"/>
    <w:rsid w:val="00850D96"/>
    <w:rsid w:val="00856535"/>
    <w:rsid w:val="00860027"/>
    <w:rsid w:val="00861795"/>
    <w:rsid w:val="0086670A"/>
    <w:rsid w:val="00873706"/>
    <w:rsid w:val="008858BA"/>
    <w:rsid w:val="00891781"/>
    <w:rsid w:val="00892448"/>
    <w:rsid w:val="008B4F69"/>
    <w:rsid w:val="008B7F85"/>
    <w:rsid w:val="008C0B38"/>
    <w:rsid w:val="008C2DB0"/>
    <w:rsid w:val="008C7273"/>
    <w:rsid w:val="008D0D17"/>
    <w:rsid w:val="008D70FF"/>
    <w:rsid w:val="008E10F9"/>
    <w:rsid w:val="008E142D"/>
    <w:rsid w:val="008E232F"/>
    <w:rsid w:val="008E3877"/>
    <w:rsid w:val="008E6325"/>
    <w:rsid w:val="008E6751"/>
    <w:rsid w:val="00902E67"/>
    <w:rsid w:val="00902F9B"/>
    <w:rsid w:val="0090654F"/>
    <w:rsid w:val="00913240"/>
    <w:rsid w:val="00915C8A"/>
    <w:rsid w:val="00923F8D"/>
    <w:rsid w:val="009303B1"/>
    <w:rsid w:val="00934257"/>
    <w:rsid w:val="009362BD"/>
    <w:rsid w:val="00955460"/>
    <w:rsid w:val="00964226"/>
    <w:rsid w:val="009656E2"/>
    <w:rsid w:val="00980AB8"/>
    <w:rsid w:val="0098248E"/>
    <w:rsid w:val="00983B2B"/>
    <w:rsid w:val="00993D4E"/>
    <w:rsid w:val="009A266F"/>
    <w:rsid w:val="009B0E13"/>
    <w:rsid w:val="009B3BFA"/>
    <w:rsid w:val="009D14EA"/>
    <w:rsid w:val="009D1BAE"/>
    <w:rsid w:val="009E1F74"/>
    <w:rsid w:val="009F26C9"/>
    <w:rsid w:val="00A00187"/>
    <w:rsid w:val="00A05364"/>
    <w:rsid w:val="00A11E3A"/>
    <w:rsid w:val="00A12168"/>
    <w:rsid w:val="00A1473A"/>
    <w:rsid w:val="00A15EC1"/>
    <w:rsid w:val="00A209BF"/>
    <w:rsid w:val="00A20B08"/>
    <w:rsid w:val="00A20E11"/>
    <w:rsid w:val="00A22282"/>
    <w:rsid w:val="00A25458"/>
    <w:rsid w:val="00A35CAF"/>
    <w:rsid w:val="00A371B1"/>
    <w:rsid w:val="00A40EB6"/>
    <w:rsid w:val="00A4330C"/>
    <w:rsid w:val="00A47D39"/>
    <w:rsid w:val="00A5464F"/>
    <w:rsid w:val="00A54B4E"/>
    <w:rsid w:val="00A56E7D"/>
    <w:rsid w:val="00A62A49"/>
    <w:rsid w:val="00A71595"/>
    <w:rsid w:val="00A74A77"/>
    <w:rsid w:val="00A74C5A"/>
    <w:rsid w:val="00A74F7B"/>
    <w:rsid w:val="00A9591C"/>
    <w:rsid w:val="00AA2A07"/>
    <w:rsid w:val="00AB0FE0"/>
    <w:rsid w:val="00AB35F3"/>
    <w:rsid w:val="00AB4D25"/>
    <w:rsid w:val="00AB74CA"/>
    <w:rsid w:val="00AC5E58"/>
    <w:rsid w:val="00AC6484"/>
    <w:rsid w:val="00AC66C9"/>
    <w:rsid w:val="00AD49AA"/>
    <w:rsid w:val="00AD6B25"/>
    <w:rsid w:val="00AE3FDA"/>
    <w:rsid w:val="00AE4887"/>
    <w:rsid w:val="00AF02FB"/>
    <w:rsid w:val="00B0026B"/>
    <w:rsid w:val="00B115C6"/>
    <w:rsid w:val="00B21BA5"/>
    <w:rsid w:val="00B27B3D"/>
    <w:rsid w:val="00B30BD1"/>
    <w:rsid w:val="00B349FE"/>
    <w:rsid w:val="00B363D1"/>
    <w:rsid w:val="00B368FD"/>
    <w:rsid w:val="00B41EC8"/>
    <w:rsid w:val="00B43440"/>
    <w:rsid w:val="00B44F16"/>
    <w:rsid w:val="00B46A75"/>
    <w:rsid w:val="00B47682"/>
    <w:rsid w:val="00B540E9"/>
    <w:rsid w:val="00B548BE"/>
    <w:rsid w:val="00B616B8"/>
    <w:rsid w:val="00B652BD"/>
    <w:rsid w:val="00B669D8"/>
    <w:rsid w:val="00B722EF"/>
    <w:rsid w:val="00B7251B"/>
    <w:rsid w:val="00B74653"/>
    <w:rsid w:val="00B8118F"/>
    <w:rsid w:val="00B86F64"/>
    <w:rsid w:val="00B87BBF"/>
    <w:rsid w:val="00B928AC"/>
    <w:rsid w:val="00B94630"/>
    <w:rsid w:val="00B94C3F"/>
    <w:rsid w:val="00BA0F79"/>
    <w:rsid w:val="00BA78C0"/>
    <w:rsid w:val="00BB257E"/>
    <w:rsid w:val="00BB4786"/>
    <w:rsid w:val="00BB739A"/>
    <w:rsid w:val="00BD4E0B"/>
    <w:rsid w:val="00BD617B"/>
    <w:rsid w:val="00BE0422"/>
    <w:rsid w:val="00BE3715"/>
    <w:rsid w:val="00BE6902"/>
    <w:rsid w:val="00BF57A0"/>
    <w:rsid w:val="00C0014F"/>
    <w:rsid w:val="00C036CF"/>
    <w:rsid w:val="00C13687"/>
    <w:rsid w:val="00C13DD7"/>
    <w:rsid w:val="00C32BF5"/>
    <w:rsid w:val="00C3417F"/>
    <w:rsid w:val="00C45EA6"/>
    <w:rsid w:val="00C51A7F"/>
    <w:rsid w:val="00C562D1"/>
    <w:rsid w:val="00C5786A"/>
    <w:rsid w:val="00C57E2D"/>
    <w:rsid w:val="00C64389"/>
    <w:rsid w:val="00C702B3"/>
    <w:rsid w:val="00C74944"/>
    <w:rsid w:val="00C74B3B"/>
    <w:rsid w:val="00C759AC"/>
    <w:rsid w:val="00C77680"/>
    <w:rsid w:val="00C816A3"/>
    <w:rsid w:val="00C862E2"/>
    <w:rsid w:val="00CA3287"/>
    <w:rsid w:val="00CA3C85"/>
    <w:rsid w:val="00CA750F"/>
    <w:rsid w:val="00CB5DED"/>
    <w:rsid w:val="00CC5686"/>
    <w:rsid w:val="00CC589E"/>
    <w:rsid w:val="00CD1387"/>
    <w:rsid w:val="00CD1DE3"/>
    <w:rsid w:val="00CD7615"/>
    <w:rsid w:val="00CE0DD3"/>
    <w:rsid w:val="00CE383E"/>
    <w:rsid w:val="00CE3B4C"/>
    <w:rsid w:val="00CE6720"/>
    <w:rsid w:val="00CE6DE4"/>
    <w:rsid w:val="00CE7D59"/>
    <w:rsid w:val="00CF166B"/>
    <w:rsid w:val="00CF2FF8"/>
    <w:rsid w:val="00CF4F81"/>
    <w:rsid w:val="00D0286F"/>
    <w:rsid w:val="00D173FA"/>
    <w:rsid w:val="00D22512"/>
    <w:rsid w:val="00D23BA5"/>
    <w:rsid w:val="00D244A4"/>
    <w:rsid w:val="00D260FD"/>
    <w:rsid w:val="00D267F6"/>
    <w:rsid w:val="00D26F05"/>
    <w:rsid w:val="00D27F3F"/>
    <w:rsid w:val="00D33894"/>
    <w:rsid w:val="00D432BC"/>
    <w:rsid w:val="00D50807"/>
    <w:rsid w:val="00D527C6"/>
    <w:rsid w:val="00D544E8"/>
    <w:rsid w:val="00D6426F"/>
    <w:rsid w:val="00D650D6"/>
    <w:rsid w:val="00D6661F"/>
    <w:rsid w:val="00D87EDF"/>
    <w:rsid w:val="00D90CA9"/>
    <w:rsid w:val="00D93802"/>
    <w:rsid w:val="00D940E0"/>
    <w:rsid w:val="00DA2FDC"/>
    <w:rsid w:val="00DB1F4E"/>
    <w:rsid w:val="00DB7784"/>
    <w:rsid w:val="00DC5794"/>
    <w:rsid w:val="00DC5BD4"/>
    <w:rsid w:val="00DD2EEC"/>
    <w:rsid w:val="00DD4100"/>
    <w:rsid w:val="00DD53C6"/>
    <w:rsid w:val="00DF3A18"/>
    <w:rsid w:val="00DF6617"/>
    <w:rsid w:val="00DF789E"/>
    <w:rsid w:val="00E0259B"/>
    <w:rsid w:val="00E039E3"/>
    <w:rsid w:val="00E04067"/>
    <w:rsid w:val="00E07485"/>
    <w:rsid w:val="00E11E1B"/>
    <w:rsid w:val="00E14D88"/>
    <w:rsid w:val="00E17C79"/>
    <w:rsid w:val="00E2393F"/>
    <w:rsid w:val="00E24EE8"/>
    <w:rsid w:val="00E35FB3"/>
    <w:rsid w:val="00E3638E"/>
    <w:rsid w:val="00E40B58"/>
    <w:rsid w:val="00E46500"/>
    <w:rsid w:val="00E543E4"/>
    <w:rsid w:val="00E61D93"/>
    <w:rsid w:val="00E65C89"/>
    <w:rsid w:val="00E66F58"/>
    <w:rsid w:val="00E737EC"/>
    <w:rsid w:val="00E7498E"/>
    <w:rsid w:val="00E977D1"/>
    <w:rsid w:val="00E97F33"/>
    <w:rsid w:val="00EB0089"/>
    <w:rsid w:val="00EC3B13"/>
    <w:rsid w:val="00EC6525"/>
    <w:rsid w:val="00EC7F3F"/>
    <w:rsid w:val="00ED0508"/>
    <w:rsid w:val="00ED5BB7"/>
    <w:rsid w:val="00EE2528"/>
    <w:rsid w:val="00EE308C"/>
    <w:rsid w:val="00EF0661"/>
    <w:rsid w:val="00EF1CDC"/>
    <w:rsid w:val="00F0158A"/>
    <w:rsid w:val="00F11675"/>
    <w:rsid w:val="00F157D3"/>
    <w:rsid w:val="00F25132"/>
    <w:rsid w:val="00F40378"/>
    <w:rsid w:val="00F40A57"/>
    <w:rsid w:val="00F438FC"/>
    <w:rsid w:val="00F51AC8"/>
    <w:rsid w:val="00F54089"/>
    <w:rsid w:val="00F54CD3"/>
    <w:rsid w:val="00F55111"/>
    <w:rsid w:val="00F6188C"/>
    <w:rsid w:val="00F70DD8"/>
    <w:rsid w:val="00F728CB"/>
    <w:rsid w:val="00F77A46"/>
    <w:rsid w:val="00F90B66"/>
    <w:rsid w:val="00F926DD"/>
    <w:rsid w:val="00F95BD9"/>
    <w:rsid w:val="00F96400"/>
    <w:rsid w:val="00F96B8A"/>
    <w:rsid w:val="00F96EE2"/>
    <w:rsid w:val="00F97581"/>
    <w:rsid w:val="00FA4602"/>
    <w:rsid w:val="00FA7A05"/>
    <w:rsid w:val="00FB00F7"/>
    <w:rsid w:val="00FB3401"/>
    <w:rsid w:val="00FE2E45"/>
    <w:rsid w:val="00FE6F9C"/>
    <w:rsid w:val="00FF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04B8A"/>
  <w15:docId w15:val="{1EE94887-DD0B-4103-A497-5404A806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1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table" w:customStyle="1" w:styleId="TableNormal">
    <w:name w:val="Table Normal"/>
    <w:rsid w:val="004932B2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Нормальний текст"/>
    <w:basedOn w:val="a"/>
    <w:rsid w:val="004C45EC"/>
    <w:pPr>
      <w:spacing w:before="120" w:after="0" w:line="240" w:lineRule="auto"/>
      <w:ind w:firstLine="567"/>
    </w:pPr>
    <w:rPr>
      <w:rFonts w:ascii="Antiqua" w:eastAsia="SimSun" w:hAnsi="Antiqua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080DC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docdata">
    <w:name w:val="docdata"/>
    <w:aliases w:val="docy,v5,1651,baiaagaaboqcaaadraqaaaw6baaaaaaaaaaaaaaaaaaaaaaaaaaaaaaaaaaaaaaaaaaaaaaaaaaaaaaaaaaaaaaaaaaaaaaaaaaaaaaaaaaaaaaaaaaaaaaaaaaaaaaaaaaaaaaaaaaaaaaaaaaaaaaaaaaaaaaaaaaaaaaaaaaaaaaaaaaaaaaaaaaaaaaaaaaaaaaaaaaaaaaaaaaaaaaaaaaaaaaaaaaaaaaa"/>
    <w:basedOn w:val="a"/>
    <w:rsid w:val="008E14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909">
    <w:name w:val="2909"/>
    <w:aliases w:val="baiaagaaboqcaaadlgcaaau8bwaaaaaaaaaaaaaaaaaaaaaaaaaaaaaaaaaaaaaaaaaaaaaaaaaaaaaaaaaaaaaaaaaaaaaaaaaaaaaaaaaaaaaaaaaaaaaaaaaaaaaaaaaaaaaaaaaaaaaaaaaaaaaaaaaaaaaaaaaaaaaaaaaaaaaaaaaaaaaaaaaaaaaaaaaaaaaaaaaaaaaaaaaaaaaaaaaaaaaaaaaaaaaa"/>
    <w:basedOn w:val="a0"/>
    <w:rsid w:val="000C5525"/>
  </w:style>
  <w:style w:type="paragraph" w:styleId="ae">
    <w:name w:val="Normal (Web)"/>
    <w:basedOn w:val="a"/>
    <w:link w:val="af"/>
    <w:unhideWhenUsed/>
    <w:rsid w:val="00F61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0">
    <w:name w:val="Strong"/>
    <w:uiPriority w:val="22"/>
    <w:qFormat/>
    <w:locked/>
    <w:rsid w:val="00F6188C"/>
    <w:rPr>
      <w:b/>
      <w:bCs/>
    </w:rPr>
  </w:style>
  <w:style w:type="character" w:customStyle="1" w:styleId="af">
    <w:name w:val="Звичайний (веб) Знак"/>
    <w:link w:val="ae"/>
    <w:rsid w:val="00F6188C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unhideWhenUsed/>
    <w:rsid w:val="009D14EA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9D14EA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D1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671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384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E7C7B-4DE0-4B38-8360-8CE47354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8960</Words>
  <Characters>5108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10481743</dc:creator>
  <cp:keywords/>
  <dc:description/>
  <cp:lastModifiedBy>Марія Верес</cp:lastModifiedBy>
  <cp:revision>5</cp:revision>
  <cp:lastPrinted>2025-11-17T14:30:00Z</cp:lastPrinted>
  <dcterms:created xsi:type="dcterms:W3CDTF">2025-11-17T09:29:00Z</dcterms:created>
  <dcterms:modified xsi:type="dcterms:W3CDTF">2025-11-17T14:31:00Z</dcterms:modified>
</cp:coreProperties>
</file>